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8BE36" w14:textId="77777777" w:rsidR="00E60709" w:rsidRPr="00E60709" w:rsidRDefault="00E60709" w:rsidP="00D821F0">
      <w:pPr>
        <w:pStyle w:val="Nadpis1"/>
        <w:jc w:val="right"/>
        <w:rPr>
          <w:rFonts w:ascii="Arial" w:hAnsi="Arial" w:cs="Arial"/>
          <w:bCs/>
          <w:i/>
          <w:sz w:val="20"/>
        </w:rPr>
      </w:pPr>
      <w:r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r w:rsidRPr="00E60709">
        <w:rPr>
          <w:rFonts w:ascii="Arial" w:hAnsi="Arial" w:cs="Arial"/>
          <w:bCs/>
          <w:sz w:val="20"/>
        </w:rPr>
        <w:t>sml.</w:t>
      </w:r>
      <w:r w:rsidR="00D821F0">
        <w:rPr>
          <w:rFonts w:ascii="Arial" w:hAnsi="Arial" w:cs="Arial"/>
          <w:bCs/>
          <w:sz w:val="20"/>
        </w:rPr>
        <w:t xml:space="preserve"> 7700071321_17/VB</w:t>
      </w:r>
    </w:p>
    <w:p w14:paraId="0A160685" w14:textId="77777777" w:rsidR="0040070B" w:rsidRPr="0040070B" w:rsidRDefault="0040070B" w:rsidP="0040070B"/>
    <w:p w14:paraId="0A04DB2F" w14:textId="77777777"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14:paraId="77595CC2" w14:textId="77777777"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14:paraId="3A4871A4" w14:textId="77777777"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14:paraId="083C8177" w14:textId="77777777"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143F6064" w14:textId="77777777"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14:paraId="5E618B9B" w14:textId="77777777"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09083C5C" w14:textId="77777777" w:rsidR="000D0E58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Obec Veselíčko</w:t>
      </w:r>
    </w:p>
    <w:p w14:paraId="1C0058C9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Veselíčko 68, 75125 Veselíčko </w:t>
      </w:r>
    </w:p>
    <w:p w14:paraId="3BC94848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00302198</w:t>
      </w:r>
    </w:p>
    <w:p w14:paraId="33E6C314" w14:textId="3AD924E6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</w:r>
      <w:r w:rsidR="00E070B6">
        <w:rPr>
          <w:rFonts w:ascii="Arial" w:hAnsi="Arial" w:cs="Arial"/>
          <w:noProof/>
        </w:rPr>
        <w:t>není plátcem DPH</w:t>
      </w:r>
    </w:p>
    <w:p w14:paraId="36D6B6B3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  <w:t>Tomáš Šulák, starosta obce</w:t>
      </w:r>
    </w:p>
    <w:p w14:paraId="37C22774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Komerční banka,a s.</w:t>
      </w:r>
    </w:p>
    <w:p w14:paraId="2E7055F9" w14:textId="77777777" w:rsidR="006257CD" w:rsidRPr="00564736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 xml:space="preserve">3326831/0100 </w:t>
      </w:r>
    </w:p>
    <w:p w14:paraId="269EFA37" w14:textId="77777777"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14:paraId="3BF1D1C5" w14:textId="77777777"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14:paraId="47093879" w14:textId="0C5A7D40" w:rsidR="000039EA" w:rsidRPr="00B56308" w:rsidRDefault="000039EA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</w:t>
      </w:r>
      <w:r w:rsidR="00D742F5">
        <w:rPr>
          <w:rFonts w:ascii="Arial" w:hAnsi="Arial" w:cs="Arial"/>
          <w:b/>
          <w:i/>
        </w:rPr>
        <w:t xml:space="preserve"> </w:t>
      </w:r>
      <w:r w:rsidR="00911B11" w:rsidRPr="00682CE0">
        <w:rPr>
          <w:rFonts w:ascii="Arial" w:hAnsi="Arial" w:cs="Arial"/>
          <w:b/>
          <w:i/>
        </w:rPr>
        <w:t>“</w:t>
      </w:r>
      <w:commentRangeStart w:id="0"/>
      <w:commentRangeEnd w:id="0"/>
    </w:p>
    <w:p w14:paraId="47C865DB" w14:textId="77777777"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6DF84B9C" w14:textId="77777777"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979A3B1" w14:textId="77777777" w:rsidR="000039EA" w:rsidRPr="00B56308" w:rsidRDefault="000039EA" w:rsidP="000039EA">
      <w:pPr>
        <w:jc w:val="both"/>
        <w:rPr>
          <w:rFonts w:ascii="Arial" w:hAnsi="Arial" w:cs="Arial"/>
        </w:rPr>
      </w:pPr>
    </w:p>
    <w:p w14:paraId="7A89BF99" w14:textId="77777777" w:rsidR="003C1AD7" w:rsidRDefault="003C1AD7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GasNet, s.r.o.</w:t>
      </w:r>
    </w:p>
    <w:p w14:paraId="11884BEB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285B51" w:rsidRPr="00285B51">
        <w:rPr>
          <w:rFonts w:ascii="Arial" w:hAnsi="Arial" w:cs="Arial"/>
        </w:rPr>
        <w:t>Klíšská 940/96, Klíše, 400 01 Ústí nad Labem</w:t>
      </w:r>
    </w:p>
    <w:p w14:paraId="34D52940" w14:textId="77777777"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14:paraId="709C3C89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14:paraId="34CB4E21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14:paraId="7681134A" w14:textId="77777777"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14:paraId="50CDECC7" w14:textId="77777777" w:rsidR="003C1AD7" w:rsidRDefault="003C1AD7" w:rsidP="003C1AD7">
      <w:pPr>
        <w:rPr>
          <w:rFonts w:ascii="Arial" w:hAnsi="Arial" w:cs="Arial"/>
          <w:b/>
          <w:bCs/>
        </w:rPr>
      </w:pPr>
    </w:p>
    <w:p w14:paraId="0701618B" w14:textId="77777777" w:rsidR="003C1AD7" w:rsidRDefault="0033400A" w:rsidP="003C1A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GridServices</w:t>
      </w:r>
      <w:r w:rsidR="003C1AD7">
        <w:rPr>
          <w:rFonts w:ascii="Arial" w:hAnsi="Arial" w:cs="Arial"/>
          <w:b/>
          <w:bCs/>
        </w:rPr>
        <w:t>, s.r.o.</w:t>
      </w:r>
    </w:p>
    <w:p w14:paraId="5B07BD67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14:paraId="52FA0331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14:paraId="5C59426B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14:paraId="6755F7FB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14:paraId="681754B6" w14:textId="77777777" w:rsidR="003C1AD7" w:rsidRDefault="003C1AD7" w:rsidP="003C1AD7">
      <w:pPr>
        <w:shd w:val="clear" w:color="auto" w:fill="FFFFFF"/>
        <w:ind w:left="1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14:paraId="712379C4" w14:textId="77777777" w:rsidR="00E070B6" w:rsidRPr="00E070B6" w:rsidRDefault="00E070B6" w:rsidP="00E070B6">
      <w:pPr>
        <w:shd w:val="clear" w:color="auto" w:fill="FFFFFF"/>
        <w:tabs>
          <w:tab w:val="left" w:pos="2160"/>
        </w:tabs>
        <w:ind w:left="2124" w:hanging="210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70B6">
        <w:rPr>
          <w:rFonts w:ascii="Arial" w:hAnsi="Arial" w:cs="Arial"/>
        </w:rPr>
        <w:t xml:space="preserve">Julií Sládkovou, vedoucí oddělení správy nemovitého majetku – Morava sever a </w:t>
      </w:r>
    </w:p>
    <w:p w14:paraId="6219C5F9" w14:textId="79035959" w:rsidR="00687A0D" w:rsidRDefault="00E070B6" w:rsidP="00E070B6">
      <w:pPr>
        <w:shd w:val="clear" w:color="auto" w:fill="FFFFFF"/>
        <w:tabs>
          <w:tab w:val="left" w:pos="2160"/>
        </w:tabs>
        <w:ind w:left="2124" w:hanging="2104"/>
        <w:jc w:val="both"/>
        <w:rPr>
          <w:rFonts w:ascii="Arial" w:hAnsi="Arial" w:cs="Arial"/>
        </w:rPr>
      </w:pPr>
      <w:r w:rsidRPr="00E070B6">
        <w:rPr>
          <w:rFonts w:ascii="Arial" w:hAnsi="Arial" w:cs="Arial"/>
        </w:rPr>
        <w:tab/>
        <w:t>Václavem Malíkem, technikem správy nemovitého majetku</w:t>
      </w:r>
    </w:p>
    <w:p w14:paraId="410A1371" w14:textId="77777777" w:rsidR="000039EA" w:rsidRPr="00B56308" w:rsidRDefault="000039EA" w:rsidP="000039EA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„oprávněný“</w:t>
      </w:r>
    </w:p>
    <w:p w14:paraId="3A98AE64" w14:textId="77777777"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0E671217" w14:textId="77777777"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32DB514" w14:textId="77777777"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A86529" w:rsidRPr="006B1CB1">
        <w:rPr>
          <w:rFonts w:ascii="Arial" w:hAnsi="Arial" w:cs="Arial"/>
        </w:rPr>
        <w:t>pozemků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396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1286/3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1286/4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1292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1294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1308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1314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1318/1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1318/5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1675</w:t>
      </w:r>
      <w:r w:rsidR="00833954" w:rsidRPr="006B1CB1">
        <w:rPr>
          <w:rFonts w:ascii="Arial" w:hAnsi="Arial" w:cs="Arial"/>
          <w:noProof/>
        </w:rPr>
        <w:t xml:space="preserve">,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Veselíčko u Lipníka nad Bečvou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Veselíčko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Olomoucký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Přerov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14:paraId="2B888700" w14:textId="77777777"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14:paraId="2FAFD076" w14:textId="77777777"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>zařízení „REKO MS Veselíčko, II. část</w:t>
      </w:r>
      <w:r w:rsidR="00DF7C0F" w:rsidRPr="006B1CB1">
        <w:rPr>
          <w:rFonts w:ascii="Arial" w:hAnsi="Arial" w:cs="Arial"/>
        </w:rPr>
        <w:t>, číslo stavby:</w:t>
      </w:r>
      <w:r w:rsidR="00BA3952" w:rsidRPr="006B1CB1">
        <w:rPr>
          <w:rFonts w:ascii="Arial" w:hAnsi="Arial" w:cs="Arial"/>
        </w:rPr>
        <w:t xml:space="preserve"> 7700071321“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608,96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14:paraId="06DD00F5" w14:textId="77777777"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77A726C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5F8474A5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777BCEDB" w14:textId="77777777"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14:paraId="63BB9D7E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14:paraId="2F95E761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lastRenderedPageBreak/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14:paraId="24DA50B4" w14:textId="77777777" w:rsidR="00BA3952" w:rsidRPr="006B1CB1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14:paraId="6656C269" w14:textId="77777777" w:rsidR="003F4BBC" w:rsidRPr="006B1CB1" w:rsidRDefault="003F4BBC" w:rsidP="003F4BBC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296D18C0" w14:textId="77777777"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14:paraId="595B5916" w14:textId="77777777"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14:paraId="20758AF1" w14:textId="6371DAE0"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 </w:t>
      </w:r>
      <w:r w:rsidR="00E070B6">
        <w:rPr>
          <w:rFonts w:ascii="Arial" w:hAnsi="Arial" w:cs="Arial"/>
          <w:bCs/>
        </w:rPr>
        <w:t>1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14:paraId="5860133F" w14:textId="77777777"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528-54/2018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02.07.2018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1.Geo, spol. s r.o. , Hradební 6, 796 01  Prostějov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6B1CB1">
        <w:rPr>
          <w:rFonts w:ascii="Arial" w:hAnsi="Arial" w:cs="Arial"/>
          <w:noProof/>
        </w:rPr>
        <w:t>17.07.2018 Katastrální úřad pro Olomoucký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Přerov</w:t>
      </w:r>
      <w:r w:rsidRPr="006B1CB1">
        <w:rPr>
          <w:rFonts w:ascii="Arial" w:hAnsi="Arial" w:cs="Arial"/>
        </w:rPr>
        <w:t>. Geometrický plán tvoří nedílnou součást této smlouvy.</w:t>
      </w:r>
    </w:p>
    <w:p w14:paraId="78CF2D9A" w14:textId="77777777"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14:paraId="3F15655B" w14:textId="77777777"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14:paraId="32DE2A01" w14:textId="77777777" w:rsidR="002411E7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283A1F2A" w14:textId="77777777" w:rsidR="00E070B6" w:rsidRPr="006B1CB1" w:rsidRDefault="00E070B6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0FFE28F4" w14:textId="77777777" w:rsidR="00E60709" w:rsidRPr="006B1CB1" w:rsidRDefault="006242E1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14:paraId="2475E226" w14:textId="77777777" w:rsidR="008D7FA2" w:rsidRPr="006B1CB1" w:rsidRDefault="008D7FA2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5971868C" w14:textId="77777777" w:rsidR="00BA3952" w:rsidRPr="006B1CB1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Pr="006B1CB1">
        <w:rPr>
          <w:rFonts w:ascii="Arial" w:hAnsi="Arial" w:cs="Arial"/>
          <w:noProof/>
        </w:rPr>
        <w:t>23.760</w:t>
      </w:r>
      <w:r w:rsidR="00B77319" w:rsidRPr="006B1CB1">
        <w:rPr>
          <w:rFonts w:ascii="Arial" w:hAnsi="Arial" w:cs="Arial"/>
          <w:noProof/>
        </w:rPr>
        <w:t>,-</w:t>
      </w:r>
      <w:r w:rsidR="005B39E6" w:rsidRPr="006B1CB1">
        <w:rPr>
          <w:rFonts w:ascii="Arial" w:hAnsi="Arial" w:cs="Arial"/>
          <w:noProof/>
        </w:rPr>
        <w:t> </w:t>
      </w:r>
      <w:r w:rsidRPr="006B1CB1">
        <w:rPr>
          <w:rFonts w:ascii="Arial" w:hAnsi="Arial" w:cs="Arial"/>
        </w:rPr>
        <w:t xml:space="preserve">Kč  (slovy </w:t>
      </w:r>
      <w:r w:rsidRPr="006B1CB1">
        <w:rPr>
          <w:rFonts w:ascii="Arial" w:hAnsi="Arial" w:cs="Arial"/>
          <w:noProof/>
        </w:rPr>
        <w:t>Dvacettřitisícesedmsetšedesát korun českých</w:t>
      </w:r>
      <w:r w:rsidRPr="006B1CB1">
        <w:rPr>
          <w:rFonts w:ascii="Arial" w:hAnsi="Arial" w:cs="Arial"/>
        </w:rPr>
        <w:t xml:space="preserve">) (dále jen </w:t>
      </w:r>
      <w:r w:rsidRPr="006B1CB1">
        <w:rPr>
          <w:rFonts w:ascii="Arial" w:hAnsi="Arial" w:cs="Arial"/>
          <w:b/>
          <w:i/>
        </w:rPr>
        <w:t>„úplata“</w:t>
      </w:r>
      <w:r w:rsidRPr="006B1CB1">
        <w:rPr>
          <w:rFonts w:ascii="Arial" w:hAnsi="Arial" w:cs="Arial"/>
        </w:rPr>
        <w:t>).</w:t>
      </w:r>
    </w:p>
    <w:p w14:paraId="49175BD3" w14:textId="77777777" w:rsidR="0053654F" w:rsidRPr="006B1CB1" w:rsidRDefault="0053654F" w:rsidP="0053654F">
      <w:pPr>
        <w:jc w:val="both"/>
        <w:rPr>
          <w:rFonts w:ascii="Arial" w:hAnsi="Arial" w:cs="Arial"/>
        </w:rPr>
      </w:pPr>
    </w:p>
    <w:p w14:paraId="202A8B05" w14:textId="77777777" w:rsidR="00EC004D" w:rsidRPr="006B1CB1" w:rsidRDefault="00DF3287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6B1CB1">
        <w:rPr>
          <w:rFonts w:ascii="Arial" w:hAnsi="Arial" w:cs="Arial"/>
        </w:rPr>
        <w:t>Oprávněný se zavazuje poukázat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na výše uvedený účet</w:t>
      </w:r>
      <w:r w:rsidR="00D21B6D" w:rsidRPr="006B1CB1">
        <w:rPr>
          <w:rFonts w:ascii="Arial" w:hAnsi="Arial" w:cs="Arial"/>
          <w:noProof/>
        </w:rPr>
        <w:t xml:space="preserve"> </w:t>
      </w:r>
      <w:r w:rsidR="00B65CBF" w:rsidRPr="006B1CB1">
        <w:rPr>
          <w:rFonts w:ascii="Arial" w:hAnsi="Arial" w:cs="Arial"/>
        </w:rPr>
        <w:t>povinného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úplatu </w:t>
      </w:r>
      <w:r w:rsidRPr="006B1CB1">
        <w:rPr>
          <w:rFonts w:ascii="Arial" w:hAnsi="Arial" w:cs="Arial"/>
        </w:rPr>
        <w:t>nejpozději do 30 dnů ode dne, kdy mu bude od katastrálního úřadu doručeno vyrozumění o provedení zápisu věcného břemene do katastru nemovitostí.</w:t>
      </w:r>
    </w:p>
    <w:p w14:paraId="15F82717" w14:textId="77777777" w:rsidR="00634930" w:rsidRPr="006B1CB1" w:rsidRDefault="00634930" w:rsidP="00634930">
      <w:pPr>
        <w:rPr>
          <w:rFonts w:ascii="Arial" w:hAnsi="Arial" w:cs="Arial"/>
          <w:b/>
          <w:sz w:val="22"/>
          <w:szCs w:val="22"/>
        </w:rPr>
      </w:pPr>
    </w:p>
    <w:p w14:paraId="6C005B8B" w14:textId="77777777"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14:paraId="64C4DA8E" w14:textId="77777777"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14:paraId="6F016B8D" w14:textId="77777777"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14:paraId="2487E4A1" w14:textId="77777777"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14:paraId="0C5AB741" w14:textId="77777777" w:rsidR="008B360A" w:rsidRPr="006B1CB1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14:paraId="0F34E606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7B692A80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0C9064CB" w14:textId="1D5C67C9"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dle příslušných ustanovení </w:t>
      </w:r>
      <w:r w:rsidR="005F4595" w:rsidRPr="006B1CB1">
        <w:rPr>
          <w:rFonts w:ascii="Arial" w:hAnsi="Arial" w:cs="Arial"/>
        </w:rPr>
        <w:t>energetického zákona</w:t>
      </w:r>
      <w:r w:rsidR="00B51F44" w:rsidRPr="006B1CB1">
        <w:rPr>
          <w:rFonts w:ascii="Arial" w:hAnsi="Arial" w:cs="Arial"/>
        </w:rPr>
        <w:t xml:space="preserve"> </w:t>
      </w:r>
      <w:r w:rsidR="00EE036B" w:rsidRPr="006B1CB1">
        <w:rPr>
          <w:rFonts w:ascii="Arial" w:hAnsi="Arial" w:cs="Arial"/>
        </w:rPr>
        <w:t>zřízeno ochranné pásmo v </w:t>
      </w:r>
      <w:r w:rsidR="008B5FF9" w:rsidRPr="006B1CB1">
        <w:rPr>
          <w:rFonts w:ascii="Arial" w:hAnsi="Arial" w:cs="Arial"/>
        </w:rPr>
        <w:t>rozsahu</w:t>
      </w:r>
      <w:r w:rsidR="00EE036B" w:rsidRPr="006B1CB1">
        <w:rPr>
          <w:rFonts w:ascii="Arial" w:hAnsi="Arial" w:cs="Arial"/>
        </w:rPr>
        <w:t xml:space="preserve"> </w:t>
      </w:r>
      <w:r w:rsidR="00E070B6">
        <w:rPr>
          <w:rFonts w:ascii="Arial" w:hAnsi="Arial" w:cs="Arial"/>
        </w:rPr>
        <w:t>1</w:t>
      </w:r>
      <w:r w:rsidR="00EE036B" w:rsidRPr="006B1CB1">
        <w:rPr>
          <w:rFonts w:ascii="Arial" w:hAnsi="Arial" w:cs="Arial"/>
        </w:rPr>
        <w:t>m na obě strany od půdorysu</w:t>
      </w:r>
      <w:r w:rsidR="006B0D75" w:rsidRPr="006B1CB1">
        <w:rPr>
          <w:rFonts w:ascii="Arial" w:hAnsi="Arial" w:cs="Arial"/>
        </w:rPr>
        <w:t xml:space="preserve"> plynárenského zařízení</w:t>
      </w:r>
      <w:r w:rsidR="00EE036B" w:rsidRPr="006B1CB1">
        <w:rPr>
          <w:rFonts w:ascii="Arial" w:hAnsi="Arial" w:cs="Arial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14:paraId="774EE1D2" w14:textId="77777777" w:rsidR="00E070B6" w:rsidRPr="006B1CB1" w:rsidRDefault="00E070B6">
      <w:pPr>
        <w:jc w:val="center"/>
        <w:rPr>
          <w:rFonts w:ascii="Arial" w:hAnsi="Arial" w:cs="Arial"/>
          <w:b/>
          <w:sz w:val="22"/>
          <w:szCs w:val="22"/>
        </w:rPr>
      </w:pPr>
    </w:p>
    <w:p w14:paraId="73022995" w14:textId="77777777"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14:paraId="35023EE0" w14:textId="77777777"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14:paraId="3232FA0F" w14:textId="77777777"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3B675B28" w14:textId="77777777" w:rsidR="009714B8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Default="00D742F5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7D065745" w14:textId="77777777" w:rsidR="00E070B6" w:rsidRDefault="00E070B6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137BA325" w14:textId="77777777" w:rsidR="00D742F5" w:rsidRPr="006E4CD3" w:rsidRDefault="00D742F5" w:rsidP="00D742F5">
      <w:pPr>
        <w:jc w:val="center"/>
        <w:rPr>
          <w:rFonts w:ascii="Arial" w:hAnsi="Arial" w:cs="Arial"/>
          <w:b/>
        </w:rPr>
      </w:pPr>
      <w:r w:rsidRPr="006E4CD3">
        <w:rPr>
          <w:rFonts w:ascii="Arial" w:hAnsi="Arial" w:cs="Arial"/>
          <w:b/>
        </w:rPr>
        <w:t>VII.</w:t>
      </w:r>
    </w:p>
    <w:p w14:paraId="092E7FE3" w14:textId="77777777" w:rsidR="00D742F5" w:rsidRDefault="00D742F5" w:rsidP="00D742F5">
      <w:pPr>
        <w:jc w:val="center"/>
        <w:rPr>
          <w:rFonts w:ascii="Arial" w:hAnsi="Arial" w:cs="Arial"/>
          <w:b/>
        </w:rPr>
      </w:pPr>
    </w:p>
    <w:p w14:paraId="57ECD8D7" w14:textId="77777777" w:rsidR="00D742F5" w:rsidRPr="006B1CB1" w:rsidRDefault="00D742F5" w:rsidP="00D742F5">
      <w:pPr>
        <w:tabs>
          <w:tab w:val="left" w:pos="284"/>
        </w:tabs>
        <w:jc w:val="both"/>
        <w:rPr>
          <w:rFonts w:ascii="Arial" w:hAnsi="Arial" w:cs="Arial"/>
        </w:rPr>
      </w:pPr>
      <w:r w:rsidRPr="00FD5B91">
        <w:rPr>
          <w:rFonts w:ascii="Arial" w:hAnsi="Arial" w:cs="Arial"/>
        </w:rPr>
        <w:t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(www.gasnet.cz/cs/informace-o-zpracovani-osobnich-udaju) a při uzavírání smlouvy nebo kdykoli v průběhu jejího trvání budou subjektu údajů poskytnuty na jeho vyžádání, adresované písemně na</w:t>
      </w:r>
      <w:r>
        <w:rPr>
          <w:rFonts w:ascii="Arial" w:hAnsi="Arial" w:cs="Arial"/>
        </w:rPr>
        <w:t> </w:t>
      </w:r>
      <w:r w:rsidRPr="00FD5B91">
        <w:rPr>
          <w:rFonts w:ascii="Arial" w:hAnsi="Arial" w:cs="Arial"/>
        </w:rPr>
        <w:t>adresu sídla GasNet, s.r.o. nebo do jeho datové schránky ID rdxzhzt.</w:t>
      </w:r>
    </w:p>
    <w:p w14:paraId="3447A4D8" w14:textId="77777777" w:rsidR="00237A8C" w:rsidRPr="006B1CB1" w:rsidRDefault="00237A8C">
      <w:pPr>
        <w:jc w:val="center"/>
        <w:rPr>
          <w:rFonts w:ascii="Arial" w:hAnsi="Arial" w:cs="Arial"/>
          <w:b/>
          <w:sz w:val="24"/>
          <w:szCs w:val="24"/>
        </w:rPr>
      </w:pPr>
    </w:p>
    <w:p w14:paraId="3B8BCC29" w14:textId="77777777" w:rsidR="008D7FA2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VI</w:t>
      </w:r>
      <w:r w:rsidR="00D742F5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14:paraId="7D2404A0" w14:textId="77777777" w:rsidR="00C61AD5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  <w:sz w:val="22"/>
          <w:szCs w:val="22"/>
        </w:rPr>
        <w:t xml:space="preserve"> </w:t>
      </w:r>
    </w:p>
    <w:p w14:paraId="69D2761E" w14:textId="77777777" w:rsidR="00C61AD5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14:paraId="4A0A50D0" w14:textId="77777777" w:rsidR="00C61AD5" w:rsidRPr="006B1CB1" w:rsidRDefault="00C61AD5" w:rsidP="00C61AD5">
      <w:pPr>
        <w:jc w:val="both"/>
        <w:rPr>
          <w:rFonts w:ascii="Arial" w:hAnsi="Arial" w:cs="Arial"/>
        </w:rPr>
      </w:pPr>
    </w:p>
    <w:p w14:paraId="588F974C" w14:textId="77777777" w:rsidR="00E070B6" w:rsidRPr="006B1CB1" w:rsidRDefault="00C61AD5" w:rsidP="00E070B6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 xml:space="preserve">Uzavření této smlouvy bylo schváleno usnesením </w:t>
      </w:r>
      <w:r w:rsidR="00E070B6">
        <w:rPr>
          <w:rFonts w:ascii="Arial" w:hAnsi="Arial" w:cs="Arial"/>
        </w:rPr>
        <w:t>zastupitelstva obce</w:t>
      </w:r>
      <w:r w:rsidR="00E070B6" w:rsidRPr="006B1CB1">
        <w:rPr>
          <w:rFonts w:ascii="Arial" w:hAnsi="Arial" w:cs="Arial"/>
        </w:rPr>
        <w:t>. č. ……ze dne…..</w:t>
      </w:r>
    </w:p>
    <w:p w14:paraId="17AC1D79" w14:textId="77777777" w:rsidR="00E070B6" w:rsidRPr="006B1CB1" w:rsidRDefault="00E070B6" w:rsidP="00E070B6">
      <w:pPr>
        <w:spacing w:before="120"/>
        <w:ind w:left="284"/>
        <w:jc w:val="both"/>
        <w:rPr>
          <w:rFonts w:ascii="Arial" w:hAnsi="Arial" w:cs="Arial"/>
        </w:rPr>
      </w:pPr>
    </w:p>
    <w:p w14:paraId="40F35CC9" w14:textId="77777777" w:rsidR="00E070B6" w:rsidRPr="006B1CB1" w:rsidRDefault="00E070B6" w:rsidP="00E070B6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>V</w:t>
      </w:r>
      <w:r>
        <w:rPr>
          <w:rFonts w:ascii="Arial" w:hAnsi="Arial" w:cs="Arial"/>
        </w:rPr>
        <w:t>e Veselíčku</w:t>
      </w:r>
      <w:r w:rsidRPr="006B1CB1">
        <w:rPr>
          <w:rFonts w:ascii="Arial" w:hAnsi="Arial" w:cs="Arial"/>
        </w:rPr>
        <w:t xml:space="preserve"> dne ....................</w:t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  <w:iCs/>
        </w:rPr>
        <w:t xml:space="preserve">V </w:t>
      </w:r>
      <w:r>
        <w:rPr>
          <w:rFonts w:ascii="Arial" w:hAnsi="Arial" w:cs="Arial"/>
          <w:iCs/>
        </w:rPr>
        <w:t>Ostravě</w:t>
      </w:r>
      <w:r w:rsidRPr="006B1CB1">
        <w:rPr>
          <w:rFonts w:ascii="Arial" w:hAnsi="Arial" w:cs="Arial"/>
          <w:iCs/>
        </w:rPr>
        <w:t xml:space="preserve"> dne ....................</w:t>
      </w:r>
    </w:p>
    <w:p w14:paraId="533B5CD7" w14:textId="77777777" w:rsidR="00E070B6" w:rsidRPr="006B1CB1" w:rsidRDefault="00E070B6" w:rsidP="00E070B6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</w:tblGrid>
      <w:tr w:rsidR="00E070B6" w:rsidRPr="006B1CB1" w14:paraId="5A60BAC9" w14:textId="77777777" w:rsidTr="00D87B5E">
        <w:trPr>
          <w:cantSplit/>
          <w:trHeight w:val="989"/>
        </w:trPr>
        <w:tc>
          <w:tcPr>
            <w:tcW w:w="3659" w:type="dxa"/>
          </w:tcPr>
          <w:p w14:paraId="27658B6F" w14:textId="77777777" w:rsidR="00E070B6" w:rsidRPr="006B1CB1" w:rsidRDefault="00E070B6" w:rsidP="00D87B5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7DA2E74E" w14:textId="77777777" w:rsidR="00E070B6" w:rsidRPr="006B1CB1" w:rsidRDefault="00E070B6" w:rsidP="00D87B5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6D908E33" w14:textId="77777777" w:rsidR="00E070B6" w:rsidRPr="006B1CB1" w:rsidRDefault="00E070B6" w:rsidP="00D87B5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5DAC25E6" w14:textId="77777777" w:rsidR="00E070B6" w:rsidRDefault="00E070B6" w:rsidP="00D87B5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Tomáš Šulák</w:t>
            </w:r>
          </w:p>
          <w:p w14:paraId="3036CDA2" w14:textId="77777777" w:rsidR="00E070B6" w:rsidRPr="006B1CB1" w:rsidRDefault="00E070B6" w:rsidP="00D87B5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starosta obce</w:t>
            </w:r>
          </w:p>
          <w:p w14:paraId="417B9AF7" w14:textId="77777777" w:rsidR="00E070B6" w:rsidRPr="006B1CB1" w:rsidRDefault="00E070B6" w:rsidP="00D87B5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povinný</w:t>
            </w:r>
          </w:p>
          <w:p w14:paraId="3DF4CAC6" w14:textId="77777777" w:rsidR="00E070B6" w:rsidRPr="006B1CB1" w:rsidRDefault="00E070B6" w:rsidP="00D87B5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14:paraId="7313EDFC" w14:textId="77777777" w:rsidR="00E070B6" w:rsidRPr="006B1CB1" w:rsidRDefault="00E070B6" w:rsidP="00D87B5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14:paraId="5E9DD781" w14:textId="77777777" w:rsidR="00E070B6" w:rsidRPr="006B1CB1" w:rsidRDefault="00E070B6" w:rsidP="00D87B5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68614C8C" w14:textId="77777777" w:rsidR="00E070B6" w:rsidRPr="006B1CB1" w:rsidRDefault="00E070B6" w:rsidP="00D87B5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77C28B25" w14:textId="77777777" w:rsidR="00E070B6" w:rsidRPr="006B1CB1" w:rsidRDefault="00E070B6" w:rsidP="00D87B5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14:paraId="7D61070B" w14:textId="77777777" w:rsidR="00E070B6" w:rsidRPr="00232799" w:rsidRDefault="00E070B6" w:rsidP="00D87B5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232799">
              <w:rPr>
                <w:rFonts w:ascii="Arial" w:hAnsi="Arial" w:cs="Arial"/>
                <w:iCs/>
                <w:noProof/>
              </w:rPr>
              <w:t>Julie Sládková                                                                                 vedoucí oddělení správy nemovitého                 majetku - Morava sever                                                                                        oprávněný</w:t>
            </w:r>
          </w:p>
          <w:p w14:paraId="0E5833E6" w14:textId="77777777" w:rsidR="00E070B6" w:rsidRDefault="00E070B6" w:rsidP="00D87B5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232799">
              <w:rPr>
                <w:rFonts w:ascii="Arial" w:hAnsi="Arial" w:cs="Arial"/>
                <w:iCs/>
                <w:noProof/>
              </w:rPr>
              <w:t xml:space="preserve">    </w:t>
            </w:r>
          </w:p>
          <w:p w14:paraId="68CBBE9E" w14:textId="77777777" w:rsidR="00E070B6" w:rsidRPr="00232799" w:rsidRDefault="00E070B6" w:rsidP="00D87B5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6B5C98D9" w14:textId="77777777" w:rsidR="00E070B6" w:rsidRPr="006B1CB1" w:rsidRDefault="00E070B6" w:rsidP="00D87B5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232799">
              <w:rPr>
                <w:rFonts w:ascii="Arial" w:hAnsi="Arial" w:cs="Arial"/>
                <w:iCs/>
                <w:noProof/>
              </w:rPr>
              <w:t xml:space="preserve">       ...............................................................                                                                         Václav Malík                                                                                    technik správy nemovitého majetku                                                                                                          oprávněný</w:t>
            </w:r>
          </w:p>
        </w:tc>
      </w:tr>
    </w:tbl>
    <w:p w14:paraId="74374C5B" w14:textId="5B57F645" w:rsidR="006257CD" w:rsidRPr="00FD3728" w:rsidRDefault="006257CD" w:rsidP="00E070B6">
      <w:pPr>
        <w:tabs>
          <w:tab w:val="left" w:pos="284"/>
        </w:tabs>
        <w:ind w:left="284" w:hanging="284"/>
        <w:jc w:val="both"/>
      </w:pPr>
      <w:bookmarkStart w:id="1" w:name="_GoBack"/>
      <w:bookmarkEnd w:id="1"/>
    </w:p>
    <w:p w14:paraId="087943D6" w14:textId="77777777" w:rsidR="00FD3728" w:rsidRDefault="00FD3728" w:rsidP="00FD3728">
      <w:pPr>
        <w:tabs>
          <w:tab w:val="left" w:pos="5670"/>
        </w:tabs>
        <w:jc w:val="both"/>
        <w:rPr>
          <w:rFonts w:ascii="Arial" w:hAnsi="Arial" w:cs="Arial"/>
          <w:iCs/>
        </w:rPr>
      </w:pPr>
    </w:p>
    <w:sectPr w:rsidR="00FD3728" w:rsidSect="00CA1D29">
      <w:footerReference w:type="default" r:id="rId9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DE46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4168" w14:textId="77777777" w:rsidR="007F59F0" w:rsidRDefault="007F59F0">
      <w:r>
        <w:separator/>
      </w:r>
    </w:p>
  </w:endnote>
  <w:endnote w:type="continuationSeparator" w:id="0">
    <w:p w14:paraId="2379916A" w14:textId="77777777" w:rsidR="007F59F0" w:rsidRDefault="007F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14:paraId="7C747FC3" w14:textId="77777777" w:rsidR="00B65CBF" w:rsidRPr="0091168B" w:rsidRDefault="003E302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70B6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70B6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C565F44" w14:textId="77777777"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8527" w14:textId="77777777" w:rsidR="007F59F0" w:rsidRDefault="007F59F0">
      <w:r>
        <w:separator/>
      </w:r>
    </w:p>
  </w:footnote>
  <w:footnote w:type="continuationSeparator" w:id="0">
    <w:p w14:paraId="77975884" w14:textId="77777777" w:rsidR="007F59F0" w:rsidRDefault="007F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29"/>
  </w:num>
  <w:num w:numId="19">
    <w:abstractNumId w:val="7"/>
  </w:num>
  <w:num w:numId="20">
    <w:abstractNumId w:val="18"/>
  </w:num>
  <w:num w:numId="21">
    <w:abstractNumId w:val="8"/>
  </w:num>
  <w:num w:numId="22">
    <w:abstractNumId w:val="28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šek Milan">
    <w15:presenceInfo w15:providerId="None" w15:userId="Mašek Mi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35D6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41D6"/>
    <w:rsid w:val="00560817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7F59F0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3287"/>
    <w:rsid w:val="00DF37AE"/>
    <w:rsid w:val="00DF68CF"/>
    <w:rsid w:val="00DF7465"/>
    <w:rsid w:val="00DF7C0F"/>
    <w:rsid w:val="00E070B6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8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B3F6-62FD-4AD4-9F3A-A3409B9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1099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hp</cp:lastModifiedBy>
  <cp:revision>6</cp:revision>
  <cp:lastPrinted>2007-12-07T09:42:00Z</cp:lastPrinted>
  <dcterms:created xsi:type="dcterms:W3CDTF">2018-05-14T07:41:00Z</dcterms:created>
  <dcterms:modified xsi:type="dcterms:W3CDTF">2018-10-04T11:45:00Z</dcterms:modified>
</cp:coreProperties>
</file>