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25CD" w14:textId="7CB4B517" w:rsidR="007717E5" w:rsidRPr="008C19E7" w:rsidRDefault="007717E5" w:rsidP="007717E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C19E7">
        <w:rPr>
          <w:rFonts w:ascii="Calibri" w:hAnsi="Calibri" w:cs="Calibri"/>
          <w:b/>
          <w:bCs/>
        </w:rPr>
        <w:t>Zápis č.6. /2025</w:t>
      </w:r>
    </w:p>
    <w:p w14:paraId="4DAACA76" w14:textId="593B998A" w:rsidR="007717E5" w:rsidRPr="008C19E7" w:rsidRDefault="007717E5" w:rsidP="007717E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C19E7">
        <w:rPr>
          <w:rFonts w:ascii="Calibri" w:hAnsi="Calibri" w:cs="Calibri"/>
          <w:b/>
          <w:bCs/>
        </w:rPr>
        <w:t xml:space="preserve">z jednání Finančního výboru obce Kunčice pod Ondřejníkem </w:t>
      </w:r>
    </w:p>
    <w:p w14:paraId="2927173D" w14:textId="0A44C85B" w:rsidR="007717E5" w:rsidRPr="008C19E7" w:rsidRDefault="007717E5" w:rsidP="007717E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C19E7">
        <w:rPr>
          <w:rFonts w:ascii="Calibri" w:hAnsi="Calibri" w:cs="Calibri"/>
          <w:b/>
          <w:bCs/>
        </w:rPr>
        <w:t>ze dne 09.06.2025,</w:t>
      </w:r>
    </w:p>
    <w:p w14:paraId="3FDA30FC" w14:textId="5BB35806" w:rsidR="007717E5" w:rsidRPr="008C19E7" w:rsidRDefault="007717E5" w:rsidP="007717E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C19E7">
        <w:rPr>
          <w:rFonts w:ascii="Calibri" w:hAnsi="Calibri" w:cs="Calibri"/>
          <w:b/>
          <w:bCs/>
        </w:rPr>
        <w:t>konaného v prostorách OÚ v Kunčicích pod Ondřejníkem od 16:00 hodin.</w:t>
      </w:r>
    </w:p>
    <w:p w14:paraId="05E2F3C8" w14:textId="77777777" w:rsidR="007717E5" w:rsidRPr="008C19E7" w:rsidRDefault="007717E5" w:rsidP="007717E5">
      <w:pPr>
        <w:rPr>
          <w:rFonts w:ascii="Calibri" w:hAnsi="Calibri" w:cs="Calibri"/>
        </w:rPr>
      </w:pPr>
    </w:p>
    <w:p w14:paraId="488FF45F" w14:textId="77777777" w:rsidR="007717E5" w:rsidRPr="008C19E7" w:rsidRDefault="007717E5" w:rsidP="007717E5">
      <w:pPr>
        <w:rPr>
          <w:rFonts w:ascii="Calibri" w:hAnsi="Calibri" w:cs="Calibri"/>
        </w:rPr>
      </w:pPr>
    </w:p>
    <w:p w14:paraId="480B7886" w14:textId="77777777" w:rsidR="007717E5" w:rsidRPr="008C19E7" w:rsidRDefault="007717E5" w:rsidP="007717E5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 xml:space="preserve">Přítomni: </w:t>
      </w:r>
    </w:p>
    <w:p w14:paraId="61A379F3" w14:textId="77777777" w:rsidR="007717E5" w:rsidRPr="008C19E7" w:rsidRDefault="007717E5" w:rsidP="007717E5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 xml:space="preserve">Ing. Michal Mazoch – předseda FV, </w:t>
      </w:r>
    </w:p>
    <w:p w14:paraId="6F7E5CE3" w14:textId="1474A528" w:rsidR="007717E5" w:rsidRPr="008C19E7" w:rsidRDefault="007717E5" w:rsidP="007717E5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 xml:space="preserve">Ing. Tomáš Byrtus, Ing. Beata Bulawa, Ing. Marta Kokešová, Mgr. Markéta Menšíková – členové FV, </w:t>
      </w:r>
    </w:p>
    <w:p w14:paraId="6AB3875F" w14:textId="2BEC31E3" w:rsidR="007717E5" w:rsidRPr="008C19E7" w:rsidRDefault="007717E5" w:rsidP="007717E5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 xml:space="preserve">p. Petr Tryščuk – místostarosta obce – host, </w:t>
      </w:r>
    </w:p>
    <w:p w14:paraId="05AF9608" w14:textId="573960A2" w:rsidR="007717E5" w:rsidRPr="008C19E7" w:rsidRDefault="007717E5" w:rsidP="007717E5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Ing. Jana Lacinová – hlavní úče</w:t>
      </w:r>
      <w:r w:rsidR="00BB2C0B" w:rsidRPr="008C19E7">
        <w:rPr>
          <w:rFonts w:ascii="Calibri" w:hAnsi="Calibri" w:cs="Calibri"/>
        </w:rPr>
        <w:t>t</w:t>
      </w:r>
      <w:r w:rsidRPr="008C19E7">
        <w:rPr>
          <w:rFonts w:ascii="Calibri" w:hAnsi="Calibri" w:cs="Calibri"/>
        </w:rPr>
        <w:t>ní obce</w:t>
      </w:r>
      <w:r w:rsidR="00BB2C0B" w:rsidRPr="008C19E7">
        <w:rPr>
          <w:rFonts w:ascii="Calibri" w:hAnsi="Calibri" w:cs="Calibri"/>
        </w:rPr>
        <w:t xml:space="preserve"> - host</w:t>
      </w:r>
      <w:r w:rsidRPr="008C19E7">
        <w:rPr>
          <w:rFonts w:ascii="Calibri" w:hAnsi="Calibri" w:cs="Calibri"/>
        </w:rPr>
        <w:t>.</w:t>
      </w:r>
    </w:p>
    <w:p w14:paraId="7E2646DB" w14:textId="77777777" w:rsidR="007717E5" w:rsidRPr="008C19E7" w:rsidRDefault="007717E5" w:rsidP="007717E5">
      <w:pPr>
        <w:rPr>
          <w:rFonts w:ascii="Calibri" w:hAnsi="Calibri" w:cs="Calibri"/>
        </w:rPr>
      </w:pPr>
    </w:p>
    <w:p w14:paraId="60ED543D" w14:textId="6D18E4FB" w:rsidR="00EC287F" w:rsidRPr="008C19E7" w:rsidRDefault="007717E5" w:rsidP="007717E5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 xml:space="preserve">Program jednání: </w:t>
      </w:r>
    </w:p>
    <w:p w14:paraId="2E9F1B61" w14:textId="77777777" w:rsidR="00BB2C0B" w:rsidRPr="008C19E7" w:rsidRDefault="00BB2C0B" w:rsidP="007717E5">
      <w:pPr>
        <w:rPr>
          <w:rFonts w:ascii="Calibri" w:hAnsi="Calibri" w:cs="Calibri"/>
        </w:rPr>
      </w:pPr>
    </w:p>
    <w:p w14:paraId="23ABEC11" w14:textId="3D43AFC5" w:rsidR="00BB2C0B" w:rsidRPr="008C19E7" w:rsidRDefault="00BB2C0B" w:rsidP="00BB2C0B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Projednání návrhu závěrečného účtu za rok 2024.</w:t>
      </w:r>
    </w:p>
    <w:p w14:paraId="158BFB81" w14:textId="6F156099" w:rsidR="00BB2C0B" w:rsidRPr="008C19E7" w:rsidRDefault="00BB2C0B" w:rsidP="00BB2C0B">
      <w:pPr>
        <w:rPr>
          <w:rFonts w:ascii="Calibri" w:hAnsi="Calibri" w:cs="Calibri"/>
        </w:rPr>
      </w:pPr>
    </w:p>
    <w:p w14:paraId="41939A37" w14:textId="36E6565F" w:rsidR="00BB2C0B" w:rsidRPr="008C19E7" w:rsidRDefault="00BB2C0B" w:rsidP="00BB2C0B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1. Vyúčtování hospodaření Obce Kunčice p. O. za rok 2024,</w:t>
      </w:r>
    </w:p>
    <w:p w14:paraId="6CFB444C" w14:textId="3C2AFD1C" w:rsidR="00BB2C0B" w:rsidRPr="008C19E7" w:rsidRDefault="00BB2C0B" w:rsidP="00BB2C0B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2. Stav majetku Obce Kunčice p. O. k 31. 12. 2024,</w:t>
      </w:r>
    </w:p>
    <w:p w14:paraId="5E8FCB3E" w14:textId="4CBAA4CA" w:rsidR="00BB2C0B" w:rsidRPr="008C19E7" w:rsidRDefault="00BB2C0B" w:rsidP="00BB2C0B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3. Vyúčtování finančních vztahů ke státnímu rozpočtu a ost. rozpočtům veřejné úrovně,</w:t>
      </w:r>
    </w:p>
    <w:p w14:paraId="1CC104BB" w14:textId="444C16A6" w:rsidR="00BB2C0B" w:rsidRPr="008C19E7" w:rsidRDefault="00BB2C0B" w:rsidP="00BB2C0B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4. Stav účelových fondů,</w:t>
      </w:r>
    </w:p>
    <w:p w14:paraId="13FAA587" w14:textId="47559580" w:rsidR="00BB2C0B" w:rsidRPr="008C19E7" w:rsidRDefault="00BB2C0B" w:rsidP="00BB2C0B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5. Veřejná finanční podpora,</w:t>
      </w:r>
    </w:p>
    <w:p w14:paraId="2F8948AE" w14:textId="14E8CBB8" w:rsidR="00BB2C0B" w:rsidRPr="008C19E7" w:rsidRDefault="00BB2C0B" w:rsidP="00BB2C0B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6. Hospodaření příspěvkové organizace zřízené obcí,</w:t>
      </w:r>
    </w:p>
    <w:p w14:paraId="22AEB847" w14:textId="303DD28A" w:rsidR="00BB2C0B" w:rsidRPr="008C19E7" w:rsidRDefault="00BB2C0B" w:rsidP="00BB2C0B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7. Zpráva o výsledku přezkoumání hospodaření obce,</w:t>
      </w:r>
    </w:p>
    <w:p w14:paraId="6E5F0F3F" w14:textId="2334ACAC" w:rsidR="00BB2C0B" w:rsidRPr="008C19E7" w:rsidRDefault="00BB2C0B" w:rsidP="00BB2C0B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8. Přílohy: finanční vypořádání dotací a státní závěrečný účet, výkaz FIN, rozvaha, příloha, výkaz zisku a ztráty.</w:t>
      </w:r>
    </w:p>
    <w:p w14:paraId="4FD8E570" w14:textId="77777777" w:rsidR="00BB2C0B" w:rsidRPr="008C19E7" w:rsidRDefault="00BB2C0B" w:rsidP="00BB2C0B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9. Návrh programu pro další schůzi FV (plánována na červenec 2025) – vypracovaný Mgr. Markétou Menšíkovou.</w:t>
      </w:r>
    </w:p>
    <w:p w14:paraId="2945A3DD" w14:textId="36D11A4D" w:rsidR="00EC287F" w:rsidRPr="008C19E7" w:rsidRDefault="007717E5" w:rsidP="007717E5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 xml:space="preserve"> </w:t>
      </w:r>
    </w:p>
    <w:p w14:paraId="378AFEFC" w14:textId="77777777" w:rsidR="00EC287F" w:rsidRPr="008C19E7" w:rsidRDefault="00EC287F" w:rsidP="007717E5">
      <w:pPr>
        <w:rPr>
          <w:rFonts w:ascii="Calibri" w:hAnsi="Calibri" w:cs="Calibri"/>
        </w:rPr>
      </w:pPr>
    </w:p>
    <w:p w14:paraId="654EA455" w14:textId="77777777" w:rsidR="00BB2C0B" w:rsidRPr="008C19E7" w:rsidRDefault="00BB2C0B" w:rsidP="007717E5">
      <w:pPr>
        <w:rPr>
          <w:rFonts w:ascii="Calibri" w:hAnsi="Calibri" w:cs="Calibri"/>
        </w:rPr>
      </w:pPr>
    </w:p>
    <w:p w14:paraId="3A20EDE6" w14:textId="77777777" w:rsidR="00EC287F" w:rsidRPr="008C19E7" w:rsidRDefault="007717E5" w:rsidP="007717E5">
      <w:pPr>
        <w:rPr>
          <w:rFonts w:ascii="Calibri" w:hAnsi="Calibri" w:cs="Calibri"/>
          <w:b/>
          <w:bCs/>
          <w:u w:val="single"/>
        </w:rPr>
      </w:pPr>
      <w:r w:rsidRPr="008C19E7">
        <w:rPr>
          <w:rFonts w:ascii="Calibri" w:hAnsi="Calibri" w:cs="Calibri"/>
          <w:b/>
          <w:bCs/>
          <w:u w:val="single"/>
        </w:rPr>
        <w:lastRenderedPageBreak/>
        <w:t xml:space="preserve">Záznam z jednání: </w:t>
      </w:r>
    </w:p>
    <w:p w14:paraId="7C653FCC" w14:textId="616CE5FE" w:rsidR="00EC287F" w:rsidRPr="008C19E7" w:rsidRDefault="007717E5" w:rsidP="007717E5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K bodu 1</w:t>
      </w:r>
      <w:r w:rsidR="00BB2C0B" w:rsidRPr="008C19E7">
        <w:rPr>
          <w:rFonts w:ascii="Calibri" w:hAnsi="Calibri" w:cs="Calibri"/>
        </w:rPr>
        <w:t>-8</w:t>
      </w:r>
      <w:r w:rsidRPr="008C19E7">
        <w:rPr>
          <w:rFonts w:ascii="Calibri" w:hAnsi="Calibri" w:cs="Calibri"/>
        </w:rPr>
        <w:t xml:space="preserve">. </w:t>
      </w:r>
    </w:p>
    <w:p w14:paraId="292B0029" w14:textId="45355B07" w:rsidR="00EC287F" w:rsidRPr="008C19E7" w:rsidRDefault="007717E5" w:rsidP="007717E5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Podklady pro „Návrh závěrečného účtu obce Kunčice pod Ondřejníkem za účetní rok 202</w:t>
      </w:r>
      <w:r w:rsidR="00EC287F" w:rsidRPr="008C19E7">
        <w:rPr>
          <w:rFonts w:ascii="Calibri" w:hAnsi="Calibri" w:cs="Calibri"/>
        </w:rPr>
        <w:t>4</w:t>
      </w:r>
      <w:r w:rsidRPr="008C19E7">
        <w:rPr>
          <w:rFonts w:ascii="Calibri" w:hAnsi="Calibri" w:cs="Calibri"/>
        </w:rPr>
        <w:t xml:space="preserve">“ byly zaslány </w:t>
      </w:r>
      <w:r w:rsidR="00EC287F" w:rsidRPr="008C19E7">
        <w:rPr>
          <w:rFonts w:ascii="Calibri" w:hAnsi="Calibri" w:cs="Calibri"/>
        </w:rPr>
        <w:t>Ing. Janou Lacinovou</w:t>
      </w:r>
      <w:r w:rsidRPr="008C19E7">
        <w:rPr>
          <w:rFonts w:ascii="Calibri" w:hAnsi="Calibri" w:cs="Calibri"/>
        </w:rPr>
        <w:t xml:space="preserve"> (hlavní účetní obce Kunčic pod Ondřejníkem) všem členům „Finančního výboru (dále jenom FV)“ dne 04.04.2024 a v rámci schůze FV byly zodpovězeny </w:t>
      </w:r>
      <w:r w:rsidR="00EC287F" w:rsidRPr="008C19E7">
        <w:rPr>
          <w:rFonts w:ascii="Calibri" w:hAnsi="Calibri" w:cs="Calibri"/>
        </w:rPr>
        <w:t xml:space="preserve">oběma hosty (paní hlavní účetní Ing. Janou Lacinovou a </w:t>
      </w:r>
      <w:r w:rsidRPr="008C19E7">
        <w:rPr>
          <w:rFonts w:ascii="Calibri" w:hAnsi="Calibri" w:cs="Calibri"/>
        </w:rPr>
        <w:t>místostarostou obce p. Petrem Tryščukem</w:t>
      </w:r>
      <w:r w:rsidR="00EC287F" w:rsidRPr="008C19E7">
        <w:rPr>
          <w:rFonts w:ascii="Calibri" w:hAnsi="Calibri" w:cs="Calibri"/>
        </w:rPr>
        <w:t>)</w:t>
      </w:r>
      <w:r w:rsidRPr="008C19E7">
        <w:rPr>
          <w:rFonts w:ascii="Calibri" w:hAnsi="Calibri" w:cs="Calibri"/>
        </w:rPr>
        <w:t xml:space="preserve"> jednotlivé konkrétní dotazy přítomných členů výboru k návrhu. Diskutovány byly rovněž výsledky provedeného auditu hospodaření obce Odborem pro podporu korporátního řízení a kontroly Krajského úřadu Moravskoslezského kraje. </w:t>
      </w:r>
    </w:p>
    <w:p w14:paraId="50281647" w14:textId="77777777" w:rsidR="00EC287F" w:rsidRPr="008C19E7" w:rsidRDefault="00EC287F" w:rsidP="007717E5">
      <w:pPr>
        <w:rPr>
          <w:rFonts w:ascii="Calibri" w:hAnsi="Calibri" w:cs="Calibri"/>
        </w:rPr>
      </w:pPr>
    </w:p>
    <w:p w14:paraId="2F23893E" w14:textId="7C257FCA" w:rsidR="00BB2C0B" w:rsidRPr="008C19E7" w:rsidRDefault="00BB2C0B" w:rsidP="007717E5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K bodu 9.</w:t>
      </w:r>
    </w:p>
    <w:p w14:paraId="7D98EBBC" w14:textId="557FDF21" w:rsidR="00BB2C0B" w:rsidRPr="008C19E7" w:rsidRDefault="00BB2C0B" w:rsidP="007717E5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Na základě návrhu témat pro další schůzi FV zaslaného Mgr. Menšíkovou byl stanoven termín další schůze FV a to na 23.07.2025, kde budou projednány body</w:t>
      </w:r>
      <w:r w:rsidR="008C19E7" w:rsidRPr="008C19E7">
        <w:rPr>
          <w:rFonts w:ascii="Calibri" w:hAnsi="Calibri" w:cs="Calibri"/>
        </w:rPr>
        <w:t xml:space="preserve"> vázané k Akčnímu plánu a kategorii A+</w:t>
      </w:r>
      <w:r w:rsidRPr="008C19E7">
        <w:rPr>
          <w:rFonts w:ascii="Calibri" w:hAnsi="Calibri" w:cs="Calibri"/>
        </w:rPr>
        <w:t xml:space="preserve">. </w:t>
      </w:r>
    </w:p>
    <w:p w14:paraId="01411080" w14:textId="66D4BCEE" w:rsidR="008C19E7" w:rsidRPr="008C19E7" w:rsidRDefault="008C19E7" w:rsidP="007717E5">
      <w:pPr>
        <w:rPr>
          <w:rFonts w:ascii="Calibri" w:hAnsi="Calibri" w:cs="Calibri"/>
          <w:b/>
          <w:bCs/>
        </w:rPr>
      </w:pPr>
      <w:r w:rsidRPr="008C19E7">
        <w:rPr>
          <w:rFonts w:ascii="Calibri" w:hAnsi="Calibri" w:cs="Calibri"/>
          <w:b/>
          <w:bCs/>
        </w:rPr>
        <w:t>Navržené přílohy jsou:</w:t>
      </w:r>
    </w:p>
    <w:p w14:paraId="0377F462" w14:textId="68394499" w:rsidR="00BB2C0B" w:rsidRPr="008C19E7" w:rsidRDefault="00BB2C0B" w:rsidP="00BB2C0B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1. Akční plán 2025, vez. B,</w:t>
      </w:r>
      <w:r w:rsidRPr="008C19E7">
        <w:rPr>
          <w:rFonts w:ascii="Calibri" w:hAnsi="Calibri" w:cs="Calibri"/>
        </w:rPr>
        <w:br/>
        <w:t>2. Rozpočet 2025 schválený na prosincovém ZO,</w:t>
      </w:r>
      <w:r w:rsidRPr="008C19E7">
        <w:rPr>
          <w:rFonts w:ascii="Calibri" w:hAnsi="Calibri" w:cs="Calibri"/>
        </w:rPr>
        <w:br/>
        <w:t>3. Rozpočet 2025 po schválených rozpočtových opatřeních č 1. a 2.,</w:t>
      </w:r>
      <w:r w:rsidRPr="008C19E7">
        <w:rPr>
          <w:rFonts w:ascii="Calibri" w:hAnsi="Calibri" w:cs="Calibri"/>
        </w:rPr>
        <w:br/>
        <w:t>4. Výkaz FIN2 - 12/2024 – plný,</w:t>
      </w:r>
      <w:r w:rsidRPr="008C19E7">
        <w:rPr>
          <w:rFonts w:ascii="Calibri" w:hAnsi="Calibri" w:cs="Calibri"/>
        </w:rPr>
        <w:br/>
        <w:t>5. Výkaz FIN2 - 4/2025 – plný,</w:t>
      </w:r>
      <w:r w:rsidRPr="008C19E7">
        <w:rPr>
          <w:rFonts w:ascii="Calibri" w:hAnsi="Calibri" w:cs="Calibri"/>
        </w:rPr>
        <w:br/>
        <w:t>6. Výkaz zisků a ztrát k 30/4/2025,</w:t>
      </w:r>
      <w:r w:rsidRPr="008C19E7">
        <w:rPr>
          <w:rFonts w:ascii="Calibri" w:hAnsi="Calibri" w:cs="Calibri"/>
        </w:rPr>
        <w:br/>
        <w:t>7. Rozvaha k 30/4/2025,</w:t>
      </w:r>
      <w:r w:rsidRPr="008C19E7">
        <w:rPr>
          <w:rFonts w:ascii="Calibri" w:hAnsi="Calibri" w:cs="Calibri"/>
        </w:rPr>
        <w:br/>
        <w:t>8. Dotační žádosti k projektům:</w:t>
      </w:r>
      <w:r w:rsidRPr="008C19E7">
        <w:rPr>
          <w:rFonts w:ascii="Calibri" w:hAnsi="Calibri" w:cs="Calibri"/>
        </w:rPr>
        <w:br/>
        <w:t>a) PD - Přestavba "Staré školy" na nové bydlení v KpO,</w:t>
      </w:r>
      <w:r w:rsidRPr="008C19E7">
        <w:rPr>
          <w:rFonts w:ascii="Calibri" w:hAnsi="Calibri" w:cs="Calibri"/>
        </w:rPr>
        <w:br/>
        <w:t>b) Chodník kolem silnice III/48310 v KpO (úsek od kostela směr Tichá),</w:t>
      </w:r>
      <w:r w:rsidRPr="008C19E7">
        <w:rPr>
          <w:rFonts w:ascii="Calibri" w:hAnsi="Calibri" w:cs="Calibri"/>
        </w:rPr>
        <w:br/>
        <w:t>c) Revitalizace nádrže "Žabák a budovy u nádraží - projektová příprava.</w:t>
      </w:r>
    </w:p>
    <w:p w14:paraId="5A5A6E2D" w14:textId="77777777" w:rsidR="00BB2C0B" w:rsidRPr="008C19E7" w:rsidRDefault="00BB2C0B" w:rsidP="007717E5">
      <w:pPr>
        <w:rPr>
          <w:rFonts w:ascii="Calibri" w:hAnsi="Calibri" w:cs="Calibri"/>
          <w:b/>
          <w:bCs/>
        </w:rPr>
      </w:pPr>
    </w:p>
    <w:p w14:paraId="35E77EA6" w14:textId="2324FE74" w:rsidR="00EC287F" w:rsidRPr="008C19E7" w:rsidRDefault="007717E5" w:rsidP="007717E5">
      <w:pPr>
        <w:rPr>
          <w:rFonts w:ascii="Calibri" w:hAnsi="Calibri" w:cs="Calibri"/>
          <w:b/>
          <w:bCs/>
        </w:rPr>
      </w:pPr>
      <w:r w:rsidRPr="008C19E7">
        <w:rPr>
          <w:rFonts w:ascii="Calibri" w:hAnsi="Calibri" w:cs="Calibri"/>
          <w:b/>
          <w:bCs/>
        </w:rPr>
        <w:t xml:space="preserve">Usnesení: </w:t>
      </w:r>
    </w:p>
    <w:p w14:paraId="4EBA96A5" w14:textId="4C5B1C7F" w:rsidR="00EC287F" w:rsidRPr="008C19E7" w:rsidRDefault="007717E5" w:rsidP="007717E5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>K bodu 1</w:t>
      </w:r>
      <w:r w:rsidR="00BB2C0B" w:rsidRPr="008C19E7">
        <w:rPr>
          <w:rFonts w:ascii="Calibri" w:hAnsi="Calibri" w:cs="Calibri"/>
        </w:rPr>
        <w:t>-8</w:t>
      </w:r>
      <w:r w:rsidRPr="008C19E7">
        <w:rPr>
          <w:rFonts w:ascii="Calibri" w:hAnsi="Calibri" w:cs="Calibri"/>
        </w:rPr>
        <w:t xml:space="preserve">. </w:t>
      </w:r>
    </w:p>
    <w:p w14:paraId="1216D495" w14:textId="77777777" w:rsidR="00EC287F" w:rsidRPr="008C19E7" w:rsidRDefault="007717E5" w:rsidP="007717E5">
      <w:pPr>
        <w:rPr>
          <w:rFonts w:ascii="Calibri" w:hAnsi="Calibri" w:cs="Calibri"/>
          <w:b/>
          <w:bCs/>
        </w:rPr>
      </w:pPr>
      <w:r w:rsidRPr="008C19E7">
        <w:rPr>
          <w:rFonts w:ascii="Calibri" w:hAnsi="Calibri" w:cs="Calibri"/>
          <w:b/>
          <w:bCs/>
        </w:rPr>
        <w:t xml:space="preserve">Finanční výbor doporučuje zastupitelstvu obce ke schválení „Návrh závěrečného účtu za rok 2023“ bez výhrad, v předloženém rozsahu a znění. </w:t>
      </w:r>
    </w:p>
    <w:p w14:paraId="67EFE198" w14:textId="77777777" w:rsidR="00EC287F" w:rsidRPr="008C19E7" w:rsidRDefault="00EC287F" w:rsidP="007717E5">
      <w:pPr>
        <w:rPr>
          <w:rFonts w:ascii="Calibri" w:hAnsi="Calibri" w:cs="Calibri"/>
          <w:b/>
          <w:bCs/>
        </w:rPr>
      </w:pPr>
    </w:p>
    <w:p w14:paraId="0E88A57D" w14:textId="0B98F748" w:rsidR="00265DF4" w:rsidRPr="008C19E7" w:rsidRDefault="007717E5" w:rsidP="007717E5">
      <w:pPr>
        <w:rPr>
          <w:rFonts w:ascii="Calibri" w:hAnsi="Calibri" w:cs="Calibri"/>
          <w:b/>
          <w:bCs/>
        </w:rPr>
      </w:pPr>
      <w:r w:rsidRPr="008C19E7">
        <w:rPr>
          <w:rFonts w:ascii="Calibri" w:hAnsi="Calibri" w:cs="Calibri"/>
          <w:b/>
          <w:bCs/>
        </w:rPr>
        <w:t xml:space="preserve">Hlasování: </w:t>
      </w:r>
      <w:r w:rsidR="00EC287F" w:rsidRPr="008C19E7">
        <w:rPr>
          <w:rFonts w:ascii="Calibri" w:hAnsi="Calibri" w:cs="Calibri"/>
          <w:b/>
          <w:bCs/>
        </w:rPr>
        <w:t>5</w:t>
      </w:r>
      <w:r w:rsidRPr="008C19E7">
        <w:rPr>
          <w:rFonts w:ascii="Calibri" w:hAnsi="Calibri" w:cs="Calibri"/>
          <w:b/>
          <w:bCs/>
        </w:rPr>
        <w:t xml:space="preserve"> - 0 - 0 (pro – proti – zdržel se)</w:t>
      </w:r>
    </w:p>
    <w:p w14:paraId="580913D1" w14:textId="77777777" w:rsidR="00766A82" w:rsidRPr="008C19E7" w:rsidRDefault="00766A82" w:rsidP="007717E5">
      <w:pPr>
        <w:rPr>
          <w:rFonts w:ascii="Calibri" w:hAnsi="Calibri" w:cs="Calibri"/>
          <w:b/>
          <w:bCs/>
        </w:rPr>
      </w:pPr>
    </w:p>
    <w:p w14:paraId="1E68C8C2" w14:textId="2061E2F6" w:rsidR="00EC287F" w:rsidRPr="008C19E7" w:rsidRDefault="00EC287F">
      <w:pPr>
        <w:rPr>
          <w:rFonts w:ascii="Calibri" w:hAnsi="Calibri" w:cs="Calibri"/>
        </w:rPr>
      </w:pPr>
      <w:r w:rsidRPr="008C19E7">
        <w:rPr>
          <w:rFonts w:ascii="Calibri" w:hAnsi="Calibri" w:cs="Calibri"/>
        </w:rPr>
        <w:t xml:space="preserve">Zápis ze schůze FV provedl Ing. Michal Mazoch, dne </w:t>
      </w:r>
      <w:r w:rsidR="00766A82" w:rsidRPr="008C19E7">
        <w:rPr>
          <w:rFonts w:ascii="Calibri" w:hAnsi="Calibri" w:cs="Calibri"/>
        </w:rPr>
        <w:t>13</w:t>
      </w:r>
      <w:r w:rsidRPr="008C19E7">
        <w:rPr>
          <w:rFonts w:ascii="Calibri" w:hAnsi="Calibri" w:cs="Calibri"/>
        </w:rPr>
        <w:t>.06.202</w:t>
      </w:r>
      <w:r w:rsidR="00766A82" w:rsidRPr="008C19E7">
        <w:rPr>
          <w:rFonts w:ascii="Calibri" w:hAnsi="Calibri" w:cs="Calibri"/>
        </w:rPr>
        <w:t>5</w:t>
      </w:r>
      <w:r w:rsidRPr="008C19E7">
        <w:rPr>
          <w:rFonts w:ascii="Calibri" w:hAnsi="Calibri" w:cs="Calibri"/>
        </w:rPr>
        <w:t>.</w:t>
      </w:r>
    </w:p>
    <w:sectPr w:rsidR="00EC287F" w:rsidRPr="008C19E7" w:rsidSect="008C19E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E5"/>
    <w:rsid w:val="001C2B52"/>
    <w:rsid w:val="00265DF4"/>
    <w:rsid w:val="006A11C7"/>
    <w:rsid w:val="00766A82"/>
    <w:rsid w:val="007717E5"/>
    <w:rsid w:val="008C19E7"/>
    <w:rsid w:val="0097796E"/>
    <w:rsid w:val="00BB2C0B"/>
    <w:rsid w:val="00EC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8595"/>
  <w15:chartTrackingRefBased/>
  <w15:docId w15:val="{08D7571C-B838-4BB2-8391-365CCFDE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1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1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1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1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1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7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7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7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7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7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1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1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1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MAZOCH Michal</dc:creator>
  <cp:keywords/>
  <dc:description/>
  <cp:lastModifiedBy>pt</cp:lastModifiedBy>
  <cp:revision>2</cp:revision>
  <dcterms:created xsi:type="dcterms:W3CDTF">2025-06-16T06:32:00Z</dcterms:created>
  <dcterms:modified xsi:type="dcterms:W3CDTF">2025-06-16T17:26:00Z</dcterms:modified>
</cp:coreProperties>
</file>