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BEFE" w14:textId="77777777" w:rsidR="00142731" w:rsidRDefault="00000000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Příloha č. 4</w:t>
      </w:r>
    </w:p>
    <w:p w14:paraId="3DAE18F3" w14:textId="77777777" w:rsidR="00142731" w:rsidRDefault="00000000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  <w:t>Čestné prohlášení</w:t>
      </w:r>
    </w:p>
    <w:p w14:paraId="5AFFF3B9" w14:textId="77777777" w:rsidR="00142731" w:rsidRDefault="00000000">
      <w:pPr>
        <w:pStyle w:val="Standard"/>
        <w:autoSpaceDE w:val="0"/>
        <w:spacing w:line="288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dle § 74 zákona č. 134/2016 Sb., o zadávání veřejných zakázek, v platném znění (dále jen „Zákon“)</w:t>
      </w:r>
    </w:p>
    <w:p w14:paraId="2835EB0E" w14:textId="77777777" w:rsidR="00142731" w:rsidRDefault="00142731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</w:pPr>
    </w:p>
    <w:p w14:paraId="378752AD" w14:textId="77777777" w:rsidR="00142731" w:rsidRDefault="00000000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>
        <w:rPr>
          <w:rStyle w:val="FontStyle42"/>
          <w:sz w:val="20"/>
          <w:szCs w:val="20"/>
          <w:lang w:eastAsia="ar-SA" w:bidi="ar-SA"/>
        </w:rPr>
        <w:t>Obnova místních komunikací v Úsově ulice Podlesí</w:t>
      </w:r>
    </w:p>
    <w:p w14:paraId="5D7B817A" w14:textId="77777777" w:rsidR="00142731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</w:t>
      </w:r>
      <w:r>
        <w:rPr>
          <w:rFonts w:ascii="Arial" w:eastAsia="Times New Roman" w:hAnsi="Arial" w:cs="Arial"/>
          <w:color w:val="000000"/>
          <w:spacing w:val="-3"/>
          <w:sz w:val="20"/>
          <w:szCs w:val="20"/>
          <w:lang w:eastAsia="ar-SA" w:bidi="ar-SA"/>
        </w:rPr>
        <w:t>Město Úsov, nám. Míru 86, 789 73 Úsov</w:t>
      </w:r>
      <w:r>
        <w:rPr>
          <w:rFonts w:ascii="Arial" w:hAnsi="Arial"/>
          <w:sz w:val="20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IČ: 00303500</w:t>
      </w:r>
    </w:p>
    <w:p w14:paraId="6622FBDC" w14:textId="77777777" w:rsidR="00142731" w:rsidRDefault="00000000">
      <w:pPr>
        <w:pStyle w:val="Standard"/>
        <w:pBdr>
          <w:bottom w:val="single" w:sz="8" w:space="2" w:color="000000"/>
        </w:pBdr>
        <w:autoSpaceDE w:val="0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podlimitní veřejná zakázka na 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stavební práce</w:t>
      </w:r>
    </w:p>
    <w:p w14:paraId="67251F41" w14:textId="77777777" w:rsidR="00142731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Style w:val="FontStyle42"/>
          <w:rFonts w:eastAsia="Times New Roman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Style w:val="FontStyle42"/>
          <w:rFonts w:eastAsia="Times New Roman"/>
          <w:color w:val="000000"/>
          <w:spacing w:val="-3"/>
          <w:sz w:val="20"/>
          <w:szCs w:val="20"/>
          <w:lang w:eastAsia="ar-SA" w:bidi="ar-SA"/>
        </w:rPr>
        <w:t>: zjednodušené podlimitní řízení dle § 53 a násl. Zákona</w:t>
      </w:r>
    </w:p>
    <w:p w14:paraId="162CF5E1" w14:textId="77777777" w:rsidR="00142731" w:rsidRDefault="00142731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E1767A" w14:textId="77777777" w:rsidR="00142731" w:rsidRDefault="00000000">
      <w:pPr>
        <w:pStyle w:val="Standard"/>
        <w:autoSpaceDE w:val="0"/>
        <w:spacing w:after="5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(1)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Účastník</w:t>
      </w:r>
      <w:r>
        <w:rPr>
          <w:rFonts w:ascii="Arial" w:eastAsia="Times New Roman" w:hAnsi="Arial" w:cs="Arial"/>
          <w:color w:val="000000"/>
          <w:sz w:val="18"/>
          <w:szCs w:val="18"/>
          <w:lang w:eastAsia="ar-SA"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, IČ: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tímto čestně prohlašuje, že:</w:t>
      </w:r>
    </w:p>
    <w:p w14:paraId="458B19EF" w14:textId="77777777" w:rsidR="00142731" w:rsidRDefault="00000000">
      <w:pPr>
        <w:pStyle w:val="TableContents"/>
        <w:numPr>
          <w:ilvl w:val="0"/>
          <w:numId w:val="3"/>
        </w:numPr>
        <w:autoSpaceDE w:val="0"/>
        <w:spacing w:before="28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 příloze č. 3 Zákona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zahlazeným odsouzením se nepřihlíží,</w:t>
      </w:r>
    </w:p>
    <w:p w14:paraId="046ECA15" w14:textId="77777777" w:rsidR="00142731" w:rsidRDefault="00000000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nemá v České republice nebo v zemi svého sídla v evidenci daní zachycen splatný daňový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nedoplatek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to i ve vztahu ke spotřební dani,</w:t>
      </w:r>
    </w:p>
    <w:p w14:paraId="294B3C74" w14:textId="77777777" w:rsidR="00142731" w:rsidRDefault="00000000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65B0A27" w14:textId="77777777" w:rsidR="00142731" w:rsidRDefault="00000000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DA1561B" w14:textId="77777777" w:rsidR="00142731" w:rsidRDefault="00000000">
      <w:pPr>
        <w:pStyle w:val="TableContents"/>
        <w:numPr>
          <w:ilvl w:val="0"/>
          <w:numId w:val="1"/>
        </w:numPr>
        <w:autoSpaceDE w:val="0"/>
        <w:spacing w:before="28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není v likvidaci</w:t>
      </w:r>
      <w:r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r>
        <w:rPr>
          <w:rStyle w:val="Znakapoznpodarou"/>
          <w:rFonts w:ascii="Arial" w:hAnsi="Arial" w:cs="Arial"/>
          <w:color w:val="000000"/>
          <w:sz w:val="20"/>
          <w:szCs w:val="20"/>
          <w:vertAlign w:val="baseline"/>
        </w:rPr>
        <w:footnoteReference w:id="3"/>
      </w:r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Znakapoznpodarou"/>
          <w:rFonts w:ascii="Arial" w:hAnsi="Arial" w:cs="Arial"/>
          <w:color w:val="000000"/>
          <w:sz w:val="20"/>
          <w:szCs w:val="20"/>
          <w:vertAlign w:val="baseline"/>
        </w:rPr>
        <w:footnoteReference w:id="4"/>
      </w:r>
      <w:r>
        <w:rPr>
          <w:rFonts w:ascii="Arial" w:hAnsi="Arial" w:cs="Arial"/>
          <w:color w:val="000000"/>
          <w:sz w:val="20"/>
          <w:szCs w:val="20"/>
        </w:rPr>
        <w:t xml:space="preserve"> nebo v obdobné situaci podle právního řádu země sídla dodavatele.</w:t>
      </w:r>
    </w:p>
    <w:p w14:paraId="21711EC8" w14:textId="77777777" w:rsidR="00142731" w:rsidRDefault="00000000">
      <w:pPr>
        <w:pStyle w:val="TableContents"/>
        <w:autoSpaceDE w:val="0"/>
        <w:spacing w:before="57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(2) Je-li dodavatelem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právnická osoba</w:t>
      </w:r>
      <w:r>
        <w:rPr>
          <w:rFonts w:ascii="Arial" w:hAnsi="Arial" w:cs="Arial"/>
          <w:color w:val="000000"/>
          <w:sz w:val="20"/>
          <w:szCs w:val="20"/>
        </w:rPr>
        <w:t>, účastník čestně prohlašuje, že podmínky podle odst. 1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 (i) tato právnická osoba,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každý člen statutárního orgánu této právnické osoby a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osoba zastupující tuto právnickou osobu v statutárním orgánu dodavatele.</w:t>
      </w:r>
    </w:p>
    <w:p w14:paraId="0BB69163" w14:textId="77777777" w:rsidR="00142731" w:rsidRDefault="00000000">
      <w:pPr>
        <w:pStyle w:val="TableContents"/>
        <w:autoSpaceDE w:val="0"/>
        <w:spacing w:before="57" w:line="2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(3)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zahraniční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splňuje tato právnická osoba a vedoucí pobočky závodu. Je-li dodavatelem pobočka závodu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české</w:t>
      </w:r>
      <w:r>
        <w:rPr>
          <w:rFonts w:ascii="Arial" w:hAnsi="Arial" w:cs="Arial"/>
          <w:color w:val="000000"/>
          <w:sz w:val="20"/>
          <w:szCs w:val="20"/>
        </w:rPr>
        <w:t xml:space="preserve"> právnické osoby, účastník čestně prohlašuje, že podmínku podle odst. 1 písm. a) tohoto prohlášení splňují osoby uvedené v odstavci 2 a vedoucí pobočky závodu.</w:t>
      </w:r>
    </w:p>
    <w:p w14:paraId="75F43550" w14:textId="77777777" w:rsidR="00142731" w:rsidRDefault="00142731">
      <w:pPr>
        <w:pStyle w:val="Standard"/>
        <w:spacing w:line="200" w:lineRule="atLeast"/>
        <w:jc w:val="both"/>
        <w:rPr>
          <w:sz w:val="20"/>
          <w:szCs w:val="20"/>
        </w:rPr>
      </w:pPr>
    </w:p>
    <w:p w14:paraId="34AE40AA" w14:textId="77777777" w:rsidR="00142731" w:rsidRDefault="00000000">
      <w:pPr>
        <w:pStyle w:val="Standard"/>
        <w:autoSpaceDE w:val="0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1BF38450" w14:textId="77777777" w:rsidR="00142731" w:rsidRDefault="00142731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6827C0A2" w14:textId="77777777" w:rsidR="00142731" w:rsidRDefault="00142731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5816034E" w14:textId="77777777" w:rsidR="00142731" w:rsidRDefault="00000000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....................................</w:t>
      </w:r>
    </w:p>
    <w:p w14:paraId="5F89BC39" w14:textId="77777777" w:rsidR="00142731" w:rsidRDefault="00000000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4206BE55" w14:textId="77777777" w:rsidR="00142731" w:rsidRDefault="00142731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17C0A4BD" w14:textId="77777777" w:rsidR="00142731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547CA2AD" w14:textId="77777777" w:rsidR="00142731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ar-SA" w:bidi="ar-SA"/>
        </w:rPr>
        <w:t>(hůlkovým písmem)</w:t>
      </w:r>
    </w:p>
    <w:sectPr w:rsidR="00142731">
      <w:pgSz w:w="11906" w:h="16838"/>
      <w:pgMar w:top="1304" w:right="1361" w:bottom="51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380A" w14:textId="77777777" w:rsidR="00035015" w:rsidRDefault="00035015">
      <w:r>
        <w:separator/>
      </w:r>
    </w:p>
  </w:endnote>
  <w:endnote w:type="continuationSeparator" w:id="0">
    <w:p w14:paraId="19EA130D" w14:textId="77777777" w:rsidR="00035015" w:rsidRDefault="0003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11A3" w14:textId="77777777" w:rsidR="00035015" w:rsidRDefault="00035015">
      <w:r>
        <w:rPr>
          <w:color w:val="000000"/>
        </w:rPr>
        <w:separator/>
      </w:r>
    </w:p>
  </w:footnote>
  <w:footnote w:type="continuationSeparator" w:id="0">
    <w:p w14:paraId="11EB4AF0" w14:textId="77777777" w:rsidR="00035015" w:rsidRDefault="00035015">
      <w:r>
        <w:continuationSeparator/>
      </w:r>
    </w:p>
  </w:footnote>
  <w:footnote w:id="1">
    <w:p w14:paraId="0DDBC297" w14:textId="77777777" w:rsidR="00142731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 xml:space="preserve">Pro účely prokázání splnění základní způsobilosti podle § 74 odst. 1 písm. a) se trestným činem rozumí: a) trestný čin spáchaný ve prospěch organizované zločinecké skupiny nebo trestný čin účasti na organizované zločinecké skupině; b) trestný čin obchodování s lidmi; c) tyto trestné činy proti majetku: podvod,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eastAsia="cs-CZ" w:bidi="cs-CZ"/>
        </w:rPr>
        <w:t>pojistný podvod,</w:t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 xml:space="preserve"> úvěrový podvod, dotační podvod, legalizace výnosů z trestné činnosti, legalizace výnosů z trestné činnosti z nedbalosti; d) tyto trestné činy hospodářské: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eastAsia="cs-CZ" w:bidi="cs-CZ"/>
        </w:rPr>
        <w:t>zneužití informace v obchodním styku, zneužití postavení v obchodním styku</w:t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 xml:space="preserve">,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eastAsia="cs-CZ" w:bidi="cs-CZ"/>
        </w:rPr>
        <w:t>zjednání</w:t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 xml:space="preserve"> výhody při zadání veřejné zakázky, při veřejné soutěži a veřejné dražbě, pletichy při zadání veřejné zakázky a při veřejné soutěži, pletichy při veřejné dražbě, poškození finančních zájmů Evropské unie;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eastAsia="cs-CZ" w:bidi="cs-CZ"/>
        </w:rPr>
        <w:t>e) trestné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AECF00"/>
          <w:lang w:eastAsia="cs-CZ" w:bidi="cs-CZ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eastAsia="cs-CZ" w:bidi="cs-CZ"/>
        </w:rPr>
        <w:t>činy</w:t>
      </w:r>
      <w:r>
        <w:rPr>
          <w:rFonts w:ascii="Arial" w:hAnsi="Arial" w:cs="Arial"/>
          <w:i/>
          <w:iCs/>
          <w:color w:val="000000"/>
          <w:sz w:val="18"/>
          <w:szCs w:val="18"/>
          <w:lang w:eastAsia="cs-CZ" w:bidi="cs-CZ"/>
        </w:rPr>
        <w:t xml:space="preserve"> proti České republice, cizímu státu a mezinárodní organizaci; f) tyto trestné činy proti pořádku ve věcech veřejných: trestné činy proti výkonu pravomoci orgánu veřejné moci a úřední osoby, trestné činy úředních osob, úplatkářství, jiná rušení činnosti orgánu veřejné moci.</w:t>
      </w:r>
    </w:p>
  </w:footnote>
  <w:footnote w:id="2">
    <w:p w14:paraId="42C4E230" w14:textId="77777777" w:rsidR="00142731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§ 187 zákona č. 89/2012 Sb., občanský zákoník</w:t>
      </w:r>
    </w:p>
  </w:footnote>
  <w:footnote w:id="3">
    <w:p w14:paraId="16262248" w14:textId="77777777" w:rsidR="00142731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 xml:space="preserve">§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136  zákona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č. 182/2006 Sb., o úpadku a způsobech jeho řešení (insolvenční zákon), ve znění pozdějších předpisů</w:t>
      </w:r>
    </w:p>
  </w:footnote>
  <w:footnote w:id="4">
    <w:p w14:paraId="4FFDEBA3" w14:textId="77777777" w:rsidR="00142731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Například zákon č. 21/1992 Sb., o bankách, ve znění pozdějších předpisů, zákon č. 87/1995 Sb., o spořitelních a úvěrních družstvech a některých opatřeních s tím souvisejících a o doplnění zákona České národní rady č. 586/1992 Sb., o daních z příjmů, ve znění pozdějších předpisů, zákon č. 363/1999 Sb., o 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055B"/>
    <w:multiLevelType w:val="multilevel"/>
    <w:tmpl w:val="314A715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68939B3"/>
    <w:multiLevelType w:val="multilevel"/>
    <w:tmpl w:val="712875A4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472475833">
    <w:abstractNumId w:val="1"/>
  </w:num>
  <w:num w:numId="2" w16cid:durableId="1499466718">
    <w:abstractNumId w:val="0"/>
  </w:num>
  <w:num w:numId="3" w16cid:durableId="21268461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2731"/>
    <w:rsid w:val="00035015"/>
    <w:rsid w:val="00142731"/>
    <w:rsid w:val="001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A7E6"/>
  <w15:docId w15:val="{788B2CFA-64DC-49D3-8585-6485E6ED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  <w:style w:type="character" w:customStyle="1" w:styleId="datalabel">
    <w:name w:val="datalabel"/>
    <w:basedOn w:val="Standardnpsmoodstavce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Artory - Consulting, s.r.o.</cp:lastModifiedBy>
  <cp:revision>2</cp:revision>
  <dcterms:created xsi:type="dcterms:W3CDTF">2023-07-25T14:29:00Z</dcterms:created>
  <dcterms:modified xsi:type="dcterms:W3CDTF">2023-07-25T14:29:00Z</dcterms:modified>
</cp:coreProperties>
</file>