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mc:Ignorable="w14 wp14">
  <!-- Generated by Spire.Doc -->
  <w:body>
    <w:p>
      <w:pPr>
        <w:pStyle w:val="vpCalibri18bi"/>
        <w:keepNext w:val="0"/>
      </w:pPr>
      <w:r>
        <w:rPr/>
        <w:t xml:space="preserve">Smlouva  č.: PR-001030089689/001-MOPR</w:t>
      </w:r>
    </w:p>
    <w:p>
      <w:pPr>
        <w:pStyle w:val="vpCalibri14bi"/>
        <w:keepNext w:val="0"/>
      </w:pPr>
      <w:r>
        <w:rPr/>
        <w:t xml:space="preserve">o smlouvě budoucí o zřízení věcného břemene</w:t>
      </w:r>
    </w:p>
    <w:p>
      <w:pPr>
        <w:pStyle w:val="vpCalibri9i"/>
        <w:keepNext w:val="0"/>
      </w:pPr>
      <w:r>
        <w:rPr/>
        <w:t xml:space="preserve">uzavřená podle § 1785-1788 zákona č. 89/2012 Sb., občanský zákoník v platném znění a § 25 odst. 4 zákona č. 458/2000 Sb. o podmínkách podnikání a o výkonu státní správy v energetických odvětvích (energetický zákon) v platném znění</w:t>
      </w:r>
    </w:p>
    <w:p>
      <w:pPr>
        <w:pStyle w:val="vpCalibri105i"/>
        <w:keepNext w:val="0"/>
      </w:pPr>
    </w:p>
    <w:tbl>
      <w:tblPr>
        <w:tblStyle w:val="NormalTable"/>
        <w:tblW w:w="0" w:type="auto"/>
        <w:tblCellMar>
          <w:top w:w="0" w:type="dxa"/>
          <w:left w:w="0" w:type="dxa"/>
          <w:bottom w:w="0" w:type="dxa"/>
          <w:right w:w="0" w:type="dxa"/>
        </w:tblCellMar>
        <w:tblLook w:firstRow="0" w:lastRow="0" w:firstColumn="0" w:lastColumn="0" w:noHBand="1" w:noVBand="1"/>
      </w:tblPr>
      <w:tblGrid>
        <w:gridCol w:w="2200"/>
        <w:gridCol w:w="8000"/>
      </w:tblGrid>
      <w:tr>
        <w:trPr/>
        <w:tc>
          <w:tcPr>
            <w:tcW w:w="2200" w:type="dxa"/>
            <w:hMerge w:val="restart"/>
          </w:tcPr>
          <w:p>
            <w:pPr>
              <w:pStyle w:val="vpCalibri105bi"/>
            </w:pPr>
            <w:r>
              <w:t xml:space="preserve">Obec Ondratice</w:t>
            </w:r>
          </w:p>
        </w:tc>
        <w:tc>
          <w:tcPr>
            <w:tcW w:w="8000" w:type="dxa"/>
            <w:hMerge/>
          </w:tcPr>
          <w:p>
            <w:pPr>
              <w:pStyle w:val="vpCalibri105i"/>
            </w:pPr>
          </w:p>
        </w:tc>
      </w:tr>
      <w:tr>
        <w:trPr/>
        <w:tc>
          <w:tcPr>
            <w:tcW w:w="2200" w:type="dxa"/>
            <w:tcBorders/>
          </w:tcPr>
          <w:p>
            <w:pPr>
              <w:pStyle w:val="vpCalibri105i"/>
              <w:ind w:left="300"/>
            </w:pPr>
            <w:r>
              <w:t xml:space="preserve">sídlo:</w:t>
            </w:r>
          </w:p>
        </w:tc>
        <w:tc>
          <w:tcPr>
            <w:tcW w:w="8000" w:type="dxa"/>
            <w:tcBorders/>
          </w:tcPr>
          <w:p>
            <w:pPr>
              <w:pStyle w:val="vpCalibri105i"/>
            </w:pPr>
            <w:r>
              <w:t xml:space="preserve">Ondratice 31, 798 07 Ondratice</w:t>
            </w:r>
          </w:p>
        </w:tc>
      </w:tr>
      <w:tr>
        <w:trPr/>
        <w:tc>
          <w:tcPr>
            <w:tcW w:w="2200" w:type="dxa"/>
            <w:tcBorders/>
          </w:tcPr>
          <w:p>
            <w:pPr>
              <w:pStyle w:val="vpCalibri105i"/>
              <w:ind w:left="300"/>
            </w:pPr>
            <w:r>
              <w:t xml:space="preserve">IČO:</w:t>
            </w:r>
          </w:p>
        </w:tc>
        <w:tc>
          <w:tcPr>
            <w:tcW w:w="8000" w:type="dxa"/>
            <w:tcBorders/>
          </w:tcPr>
          <w:p>
            <w:pPr>
              <w:pStyle w:val="vpCalibri105i"/>
            </w:pPr>
            <w:r>
              <w:t xml:space="preserve">00288578</w:t>
            </w:r>
          </w:p>
        </w:tc>
      </w:tr>
      <w:tr>
        <w:trPr/>
        <w:tc>
          <w:tcPr>
            <w:tcW w:w="2200" w:type="dxa"/>
            <w:tcBorders/>
          </w:tcPr>
          <w:p>
            <w:pPr>
              <w:pStyle w:val="vpCalibri105i"/>
              <w:ind w:left="300"/>
            </w:pPr>
            <w:r>
              <w:t xml:space="preserve">DIČ:</w:t>
            </w:r>
          </w:p>
        </w:tc>
        <w:tc>
          <w:tcPr>
            <w:tcW w:w="8000" w:type="dxa"/>
            <w:tcBorders/>
          </w:tcPr>
          <w:p>
            <w:pPr>
              <w:pStyle w:val="vpCalibri105i"/>
            </w:pPr>
          </w:p>
        </w:tc>
      </w:tr>
      <w:tr>
        <w:trPr/>
        <w:tc>
          <w:tcPr>
            <w:tcW w:w="2200" w:type="dxa"/>
            <w:tcBorders/>
          </w:tcPr>
          <w:p>
            <w:pPr>
              <w:pStyle w:val="vpCalibri105i"/>
              <w:ind w:left="300"/>
            </w:pPr>
            <w:r>
              <w:t xml:space="preserve">zapsána:</w:t>
            </w:r>
          </w:p>
        </w:tc>
        <w:tc>
          <w:tcPr>
            <w:tcW w:w="8000" w:type="dxa"/>
            <w:tcBorders/>
          </w:tcPr>
          <w:p>
            <w:pPr>
              <w:pStyle w:val="vpCalibri105i"/>
            </w:pPr>
          </w:p>
        </w:tc>
      </w:tr>
      <w:tr>
        <w:trPr/>
        <w:tc>
          <w:tcPr>
            <w:tcW w:w="2200" w:type="dxa"/>
            <w:tcBorders/>
          </w:tcPr>
          <w:p>
            <w:pPr>
              <w:pStyle w:val="vpCalibri105i"/>
              <w:ind w:left="300"/>
            </w:pPr>
            <w:r>
              <w:t xml:space="preserve">zastoupena:</w:t>
            </w:r>
          </w:p>
        </w:tc>
        <w:tc>
          <w:tcPr>
            <w:tcW w:w="8000" w:type="dxa"/>
            <w:tcBorders/>
          </w:tcPr>
          <w:p>
            <w:pPr>
              <w:pStyle w:val="vpCalibri105i"/>
              <w:jc w:val="left"/>
            </w:pPr>
            <w:r>
              <w:rPr>
                <w:rStyle w:val="vpCalibri105biChar"/>
                <w:i/>
              </w:rPr>
              <w:t xml:space="preserve">Mgr. Bohuslav Koštanský</w:t>
            </w:r>
            <w:r>
              <w:t xml:space="preserve">, starosta obce</w:t>
            </w:r>
          </w:p>
        </w:tc>
      </w:tr>
      <w:tr>
        <w:trPr/>
        <w:tc>
          <w:tcPr>
            <w:tcW w:w="2200" w:type="dxa"/>
            <w:tcBorders/>
          </w:tcPr>
          <w:p>
            <w:pPr>
              <w:pStyle w:val="vpCalibri105i"/>
              <w:ind w:left="300"/>
            </w:pPr>
            <w:r>
              <w:t xml:space="preserve">číslo účtu:</w:t>
            </w:r>
          </w:p>
        </w:tc>
        <w:tc>
          <w:tcPr>
            <w:tcW w:w="8000" w:type="dxa"/>
            <w:tcBorders/>
          </w:tcPr>
          <w:p>
            <w:pPr>
              <w:pStyle w:val="vpCalibri105i"/>
            </w:pPr>
          </w:p>
        </w:tc>
      </w:tr>
      <w:tr>
        <w:trPr/>
        <w:tc>
          <w:tcPr>
            <w:tcW w:w="2200" w:type="dxa"/>
            <w:tcBorders/>
          </w:tcPr>
          <w:p>
            <w:pPr>
              <w:pStyle w:val="vpCalibri105i"/>
            </w:pPr>
            <w:r>
              <w:t xml:space="preserve">vlastnický podíl:</w:t>
            </w:r>
          </w:p>
        </w:tc>
        <w:tc>
          <w:tcPr>
            <w:tcW w:w="8000" w:type="dxa"/>
            <w:tcBorders/>
          </w:tcPr>
          <w:p>
            <w:pPr>
              <w:pStyle w:val="vpCalibri105bi"/>
            </w:pPr>
            <w:r>
              <w:t xml:space="preserve">1/1</w:t>
            </w:r>
          </w:p>
        </w:tc>
      </w:tr>
    </w:tbl>
    <w:p>
      <w:pPr>
        <w:spacing w:line="100"/>
      </w:pPr>
    </w:p>
    <w:p>
      <w:pPr>
        <w:pStyle w:val="vpCalibri105bi"/>
        <w:keepNext w:val="0"/>
      </w:pPr>
      <w:r>
        <w:rPr/>
        <w:t xml:space="preserve">(dále jen „Budoucí povinná“)</w:t>
      </w:r>
    </w:p>
    <w:p>
      <w:pPr>
        <w:pStyle w:val="vpCalibri105i"/>
        <w:keepNext w:val="0"/>
      </w:pPr>
      <w:r>
        <w:rPr/>
        <w:t xml:space="preserve">na straně jedné</w:t>
      </w:r>
    </w:p>
    <w:p>
      <w:pPr>
        <w:pStyle w:val="vpCalibri105bi"/>
        <w:keepNext w:val="0"/>
      </w:pPr>
      <w:r>
        <w:rPr/>
        <w:t xml:space="preserve">a</w:t>
      </w:r>
    </w:p>
    <w:p>
      <w:pPr>
        <w:pStyle w:val="vpCalibri105bi"/>
        <w:keepNext w:val="0"/>
      </w:pPr>
      <w:r>
        <w:rPr/>
        <w:t xml:space="preserve">EG.D, s.r.o.</w:t>
      </w:r>
    </w:p>
    <w:p>
      <w:pPr>
        <w:pStyle w:val="vpCalibri105iindent"/>
        <w:keepNext w:val="0"/>
      </w:pPr>
      <w:r>
        <w:rPr/>
        <w:t xml:space="preserve">se sídlem:</w:t>
        <w:tab/>
        <w:t xml:space="preserve">Lidická 1873/36, Černá Pole, 602 00 Brno</w:t>
      </w:r>
    </w:p>
    <w:p>
      <w:pPr>
        <w:pStyle w:val="vpCalibri105iindent"/>
        <w:keepNext w:val="0"/>
      </w:pPr>
      <w:r>
        <w:rPr/>
        <w:t xml:space="preserve">IČO:</w:t>
        <w:tab/>
        <w:t xml:space="preserve">210 55 050</w:t>
      </w:r>
    </w:p>
    <w:p>
      <w:pPr>
        <w:pStyle w:val="vpCalibri105iindent"/>
        <w:keepNext w:val="0"/>
      </w:pPr>
      <w:r>
        <w:rPr/>
        <w:t xml:space="preserve">DIČ: </w:t>
        <w:tab/>
        <w:t xml:space="preserve">CZ210 55 050</w:t>
      </w:r>
    </w:p>
    <w:p>
      <w:pPr>
        <w:pStyle w:val="vpCalibri105iindent"/>
        <w:keepNext w:val="0"/>
      </w:pPr>
      <w:r>
        <w:rPr/>
        <w:t xml:space="preserve">zapsána:</w:t>
        <w:tab/>
        <w:t xml:space="preserve">v OR vedeném Krajským soudem v Brně, spisová značka C 142374</w:t>
      </w:r>
    </w:p>
    <w:p>
      <w:pPr>
        <w:pStyle w:val="vpCalibri105iindent"/>
        <w:keepNext w:val="0"/>
      </w:pPr>
      <w:r>
        <w:rPr/>
        <w:t xml:space="preserve">bankovní spojení:</w:t>
        <w:tab/>
        <w:t xml:space="preserve">Komerční banka, a.s.</w:t>
      </w:r>
    </w:p>
    <w:p>
      <w:pPr>
        <w:pStyle w:val="vpCalibri105iindent"/>
        <w:keepNext w:val="0"/>
      </w:pPr>
      <w:r>
        <w:rPr/>
        <w:t xml:space="preserve">číslo účtu:</w:t>
        <w:tab/>
        <w:t xml:space="preserve">27-9426120297/0100</w:t>
      </w:r>
    </w:p>
    <w:p>
      <w:pPr>
        <w:pStyle w:val="vpCalibri105iindent"/>
      </w:pPr>
      <w:r>
        <w:rPr>
          <w:b w:val="0"/>
        </w:rPr>
        <w:t xml:space="preserve">zastoupena:</w:t>
      </w:r>
      <w:r>
        <w:tab/>
      </w:r>
      <w:r>
        <w:rPr>
          <w:rStyle w:val="viCalibri105biChar"/>
        </w:rPr>
        <w:t xml:space="preserve">Jiří Jančík</w:t>
      </w:r>
      <w:r>
        <w:t xml:space="preserve">, Senior technik rozvoje a výstavby</w:t>
      </w:r>
      <w:r>
        <w:br/>
      </w:r>
      <w:r>
        <w:tab/>
      </w:r>
      <w:r>
        <w:rPr>
          <w:rStyle w:val="viCalibri105biChar"/>
        </w:rPr>
        <w:t xml:space="preserve">Blanka Dudová</w:t>
      </w:r>
      <w:r>
        <w:t xml:space="preserve">, Technik výstavby a obnovy DS</w:t>
      </w:r>
      <w:r>
        <w:br/>
      </w:r>
    </w:p>
    <w:p>
      <w:pPr>
        <w:pStyle w:val="vpCalibri105i"/>
        <w:keepNext w:val="0"/>
      </w:pPr>
    </w:p>
    <w:p>
      <w:pPr>
        <w:pStyle w:val="vpCalibri105bi"/>
        <w:keepNext w:val="0"/>
      </w:pPr>
      <w:r>
        <w:rPr/>
        <w:t xml:space="preserve">(dále jen „Budoucí oprávněná“)</w:t>
      </w:r>
    </w:p>
    <w:p>
      <w:pPr>
        <w:pStyle w:val="vpCalibri105i"/>
        <w:keepNext w:val="0"/>
      </w:pPr>
      <w:r>
        <w:rPr/>
        <w:t xml:space="preserve">na straně druhé</w:t>
      </w:r>
    </w:p>
    <w:p>
      <w:pPr>
        <w:pStyle w:val="vpCalibri105i"/>
        <w:keepNext w:val="0"/>
      </w:pPr>
      <w:r>
        <w:t xml:space="preserve">(Budoucí povinná a Budoucí oprávněná společně rovněž jako </w:t>
      </w:r>
      <w:r>
        <w:rPr>
          <w:rStyle w:val="viCalibri105biChar"/>
        </w:rPr>
        <w:t xml:space="preserve">„Smluvní strany“</w:t>
      </w:r>
      <w:r>
        <w:t xml:space="preserve"> )</w:t>
      </w:r>
    </w:p>
    <w:p>
      <w:pPr>
        <w:pStyle w:val="vpCalibri105i"/>
        <w:keepNext w:val="0"/>
      </w:pPr>
      <w:r>
        <w:rPr/>
        <w:t xml:space="preserve">uzavřely níže uvedeného dne, měsíce a roku tuto:</w:t>
      </w:r>
    </w:p>
    <w:p>
      <w:pPr>
        <w:pStyle w:val="vpCalibri105i"/>
        <w:keepNext w:val="0"/>
      </w:pPr>
    </w:p>
    <w:p>
      <w:pPr>
        <w:pStyle w:val="vpCalibri14bicenter"/>
        <w:keepNext/>
      </w:pPr>
      <w:r>
        <w:rPr/>
        <w:t xml:space="preserve">Smlouvu o smlouvě budoucí o zřízení věcného břemene (dále jen „Smlouva“):</w:t>
      </w:r>
    </w:p>
    <w:p>
      <w:pPr>
        <w:pStyle w:val="vpCalibri12biucenter"/>
        <w:keepNext/>
      </w:pPr>
      <w:r>
        <w:rPr/>
        <w:t xml:space="preserve">Článek I. - Úvodní ujednání:</w:t>
      </w:r>
    </w:p>
    <w:p>
      <w:pPr>
        <w:pStyle w:val="vpCalibri105inum"/>
        <w:keepNext w:val="0"/>
        <w:numPr>
          <w:ilvl w:val="0"/>
          <w:numId w:val="14"/>
        </w:numPr>
      </w:pPr>
      <w:r>
        <w:rPr/>
        <w:t xml:space="preserve">Budoucí oprávněná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věcného břemene je ze strany Budoucí oprávněné jedním ze zákonem daných předpokladů pro plnění této povinnosti.</w:t>
      </w:r>
    </w:p>
    <w:p>
      <w:pPr>
        <w:pStyle w:val="vpCalibri105inum"/>
        <w:numPr>
          <w:ilvl w:val="0"/>
          <w:numId w:val="14"/>
        </w:numPr>
      </w:pPr>
      <w:r>
        <w:t xml:space="preserve">Budoucí povinná prohlašuje, že je jediným a výlučným vlastníkem</w:t>
      </w:r>
    </w:p>
    <w:p>
      <w:pPr>
        <w:pStyle w:val="vpCalibri105i"/>
        <w:numPr>
          <w:ilvl w:val="0"/>
          <w:numId w:val="2"/>
        </w:numPr>
        <w:ind w:left="1400"/>
      </w:pPr>
      <w:r>
        <w:t xml:space="preserve">pozemku parc.č. </w:t>
      </w:r>
      <w:r>
        <w:rPr>
          <w:rStyle w:val="vpCalibri105biChar"/>
        </w:rPr>
        <w:t xml:space="preserve">522/10, 522/11, 522/12, 522/2, 522/3, 524/1, 826</w:t>
      </w:r>
      <w:r>
        <w:t xml:space="preserve"> v katastrálním území Ondratice, obec Ondratice, okres Prostějov (dále jen „Pozemek“). Katastrální úřad pro Olomoucký kraj, Katastrální pracoviště Prostějov eviduje předmětný Pozemek zapsaný v katastru nemovitostí na </w:t>
      </w:r>
      <w:r>
        <w:rPr>
          <w:rStyle w:val="vpCalibri105biChar"/>
        </w:rPr>
        <w:t xml:space="preserve">LV č. 1 </w:t>
      </w:r>
      <w:r>
        <w:t xml:space="preserve">pro katastrální území Ondratice.</w:t>
      </w:r>
    </w:p>
    <w:p>
      <w:pPr>
        <w:pStyle w:val="vpCalibri105inum"/>
        <w:keepNext w:val="0"/>
        <w:numPr>
          <w:ilvl w:val="0"/>
          <w:numId w:val="14"/>
        </w:numPr>
      </w:pPr>
      <w:r>
        <w:t xml:space="preserve">Budoucí oprávněná bude realizovat na Pozemku  stavbu s názvem </w:t>
      </w:r>
      <w:r>
        <w:rPr>
          <w:rStyle w:val="viCalibri105biChar"/>
        </w:rPr>
        <w:t xml:space="preserve">„Ondratice, lok. 21 RD Záhumenice, obec“</w:t>
      </w:r>
      <w:r>
        <w:t xml:space="preserve"> (dále jen „Stavba“). Jedná se o síť technického vybavení, která je zřizována a provozována ve veřejném zájmu (§2 odst.2a energetického zákona).</w:t>
      </w:r>
    </w:p>
    <w:p>
      <w:pPr>
        <w:pStyle w:val="vpCalibri105inum"/>
        <w:keepNext w:val="0"/>
        <w:numPr>
          <w:ilvl w:val="0"/>
          <w:numId w:val="14"/>
        </w:numPr>
      </w:pPr>
      <w:r>
        <w:rPr/>
        <w:t xml:space="preserve">Pozemek  se nachází na území vymezeném licencí, v němž Budoucí oprávněná provozuje distribuční soustavu. Budoucí oprávněná má povinnost zřídit věcné břemeno umožňující zřídit a provozovat ve smyslu § 25 odst. 3 písm. e) energetického zákona na Pozemku   zařízení distribuční soustavy.</w:t>
      </w:r>
    </w:p>
    <w:p>
      <w:pPr>
        <w:pStyle w:val="vpCalibri105inum"/>
        <w:keepNext w:val="0"/>
        <w:numPr>
          <w:ilvl w:val="0"/>
          <w:numId w:val="14"/>
        </w:numPr>
      </w:pPr>
      <w:r>
        <w:rPr/>
        <w:t xml:space="preserve">Distribuční soustava je liniovou stavbou ve smyslu § 509 zákona č. 89/2012 Sb., občanský zákoník a nejedná se tak o součást pozemku.</w:t>
      </w:r>
    </w:p>
    <w:p>
      <w:pPr>
        <w:pStyle w:val="vpCalibri12biucenter"/>
        <w:keepNext/>
      </w:pPr>
      <w:r>
        <w:rPr/>
        <w:t xml:space="preserve">Článek II. - Předmět smlouvy:</w:t>
      </w:r>
    </w:p>
    <w:p>
      <w:pPr>
        <w:pStyle w:val="vpCalibri105inum"/>
        <w:keepNext w:val="0"/>
        <w:numPr>
          <w:ilvl w:val="0"/>
          <w:numId w:val="15"/>
        </w:numPr>
      </w:pPr>
      <w:r>
        <w:t xml:space="preserve">Předmětem této Smlouvy je sjednání závazku obou Smluvních stran uzavřít podle § 25 odst. 4 zákona č. 458/2000 Sb., energetický zákon v platném znění a § 1257 a násl. zákona č. 89/2012 Sb., občanský zákoník v platném znění nejpozději do </w:t>
      </w:r>
      <w:r>
        <w:rPr>
          <w:rStyle w:val="viCalibri105biChar"/>
        </w:rPr>
        <w:t xml:space="preserve">12</w:t>
      </w:r>
      <w:r>
        <w:t xml:space="preserve"> měsíců od správního rozhodnutí - tj. nabytí právní moci kolaudačního rozhodnutí nebo vydání kolaudačního souhlasu, případně od dokončení - resp. převzetí dokončené Stavby Budoucí oprávněnou od jejího zhotovitele (datum podpisu protokolu o převzetí stavby) smlouvu o zřízení věcného břemene, nejpozději však do 5 let od uzavření této Smlouvy. Věcné břemeno bude svou povahou osobní služebností energetického vedení zřízenou ve prospěch Budoucí oprávněné jako PDS.</w:t>
      </w:r>
    </w:p>
    <w:p>
      <w:pPr>
        <w:pStyle w:val="vpCalibri105inum"/>
        <w:keepNext w:val="0"/>
        <w:numPr>
          <w:ilvl w:val="0"/>
          <w:numId w:val="15"/>
        </w:numPr>
      </w:pPr>
      <w:r>
        <w:rPr/>
        <w:t xml:space="preserve">Budoucí oprávněná se zavazuje vyzvat před uplynutím lhůty sjednané v odstavci 1 tohoto článku Budoucí povinnou k uzavření smlouvy o zřízení věcného břemene a v rámci této výzvy ji předložit i návrh smlouvy o zřízení věcného břemene.</w:t>
      </w:r>
    </w:p>
    <w:p>
      <w:pPr>
        <w:pStyle w:val="vpCalibri105inum"/>
        <w:keepNext w:val="0"/>
        <w:numPr>
          <w:ilvl w:val="0"/>
          <w:numId w:val="15"/>
        </w:numPr>
      </w:pPr>
      <w:r>
        <w:t xml:space="preserve">Smluvní strany se dohodly, že smlouva o zřízení věcného břemene bude uzavřena za účelem umístění distribuční soustavy - </w:t>
      </w:r>
      <w:r>
        <w:rPr>
          <w:rStyle w:val="viCalibri105biChar"/>
        </w:rPr>
        <w:tab/>
        <w:t xml:space="preserve">Kabelové vedení 22kV, Kabelová skříň NN, Telekomunikační vedení, Kabelové vedení NN, Zemnění</w:t>
      </w:r>
      <w:r>
        <w:t xml:space="preserve"> na Pozemek  a za účelem jejího provozování, jejímž obsahem bude právo Budoucí oprávněné zřídit, provozovat, opravovat a udržovat distribuční soustavu na Pozemku. Věcné břemeno bude zahrnovat též právo Budoucí oprávněné provádět na distribuční soustavě úpravy za účelem její obnovy, výměny, modernizace nebo zlepšení její výkonnosti, včetně jejího odstranění.</w:t>
      </w:r>
    </w:p>
    <w:p>
      <w:pPr>
        <w:pStyle w:val="vpCalibri105inum"/>
        <w:keepNext w:val="0"/>
        <w:numPr>
          <w:ilvl w:val="0"/>
          <w:numId w:val="15"/>
        </w:numPr>
      </w:pPr>
      <w:r>
        <w:rPr/>
        <w:t xml:space="preserve">Předpokládaný průběh věcného břemene je zakreslen v situačním snímku, který je nedílnou součástí této Smlouvy.</w:t>
      </w:r>
    </w:p>
    <w:p>
      <w:pPr>
        <w:pStyle w:val="vpCalibri105inum"/>
        <w:keepNext w:val="0"/>
        <w:numPr>
          <w:ilvl w:val="0"/>
          <w:numId w:val="15"/>
        </w:numPr>
      </w:pPr>
      <w:r>
        <w:rPr/>
        <w:t xml:space="preserve">Přesný průběh a rozsah věcného břemene bude vymezen v geometrickém plánu vyhotoveném po umístění distribuční soustavy. Geometrický plán se stane nedílnou součástí smlouvy o zřízení věcného břemene.</w:t>
      </w:r>
    </w:p>
    <w:p>
      <w:pPr>
        <w:pStyle w:val="vpCalibri105inum"/>
        <w:keepNext w:val="0"/>
        <w:numPr>
          <w:ilvl w:val="0"/>
          <w:numId w:val="15"/>
        </w:numPr>
      </w:pPr>
      <w:r>
        <w:rPr/>
        <w:t xml:space="preserve">Budoucí oprávněná se zavazuje na své náklady zajistit vyhotovení geometrického plánu, vyhotovení smlouvy o zřízení věcného břemene včetně návrhu na zahájení vkladového řízení, podání návrhu na příslušný katastrální úřad včetně úhrady správních poplatků s tím spojených.</w:t>
      </w:r>
    </w:p>
    <w:p>
      <w:pPr>
        <w:pStyle w:val="vpCalibri12biucenter"/>
        <w:keepNext/>
      </w:pPr>
      <w:r>
        <w:rPr/>
        <w:t xml:space="preserve">Článek III. - Podstatné náležitosti smlouvy:</w:t>
      </w:r>
    </w:p>
    <w:p>
      <w:pPr>
        <w:pStyle w:val="vpCalibri105inum"/>
        <w:keepNext w:val="0"/>
        <w:numPr>
          <w:ilvl w:val="0"/>
          <w:numId w:val="16"/>
        </w:numPr>
      </w:pPr>
      <w:r>
        <w:t xml:space="preserve">Věcné břemeno bude zřízeno úplatně, a to za jednorázovou náhradu v celkové výši </w:t>
      </w:r>
      <w:r>
        <w:rPr>
          <w:rStyle w:val="viCalibri105biChar"/>
        </w:rPr>
        <w:t xml:space="preserve">76 600,00 Kč</w:t>
      </w:r>
      <w:r>
        <w:t xml:space="preserve"> (slovy:  sedmdesátšesttisícšestset korun českých ).</w:t>
      </w:r>
    </w:p>
    <w:p>
      <w:pPr>
        <w:pStyle w:val="vpCalibri105inum"/>
        <w:keepNext w:val="0"/>
        <w:numPr>
          <w:ilvl w:val="0"/>
          <w:numId w:val="16"/>
        </w:numPr>
      </w:pPr>
      <w:r>
        <w:rPr/>
        <w:t xml:space="preserve">Jednorázová náhrada, která odpovídá hodnotě zřizovaného práva, bude Budoucí povinné uhrazena Budoucí oprávněnou ve lhůtě 60 dnů od doručení vyrozumění o provedeném vkladu do katastru nemovitostí dle smlouvy o zřízení věcného břemene.</w:t>
      </w:r>
    </w:p>
    <w:p>
      <w:pPr>
        <w:pStyle w:val="vpCalibri105inum"/>
        <w:keepNext w:val="0"/>
        <w:numPr>
          <w:ilvl w:val="0"/>
          <w:numId w:val="16"/>
        </w:numPr>
      </w:pPr>
      <w:r>
        <w:rPr/>
        <w:t xml:space="preserve">Budoucí povinná bere na vědomí, že distribuční soustava, která bude umístěna na Pozemku , bude chráněna ochrannými pásmy dle energetického zákona. Ochranné pásmo slouží k zajištění spolehlivého provozu zařízení elektrizační soustavy a k ochraně života, zdraví a majetku osob.</w:t>
      </w:r>
    </w:p>
    <w:p>
      <w:pPr>
        <w:pStyle w:val="vpCalibri105inum"/>
        <w:keepNext w:val="0"/>
        <w:numPr>
          <w:ilvl w:val="0"/>
          <w:numId w:val="16"/>
        </w:numPr>
      </w:pPr>
      <w:r>
        <w:rPr/>
        <w:t xml:space="preserve">Budoucí povinná z věcného břemene je povinna strpět výkon práva Budoucí oprávněné vyplývající z této Smlouvy a energetického zákona a zdržet se veškeré činnosti, co vede k ohrožení součásti distribuční soustavy a omezení výkonu tohoto práva Budoucí oprávněné.</w:t>
      </w:r>
    </w:p>
    <w:p>
      <w:pPr>
        <w:pStyle w:val="vpCalibri105inum"/>
        <w:keepNext w:val="0"/>
        <w:numPr>
          <w:ilvl w:val="0"/>
          <w:numId w:val="16"/>
        </w:numPr>
      </w:pPr>
      <w:r>
        <w:rPr/>
        <w:t xml:space="preserve">Budoucí oprávněná z věcného břemene má ve vztahu k Pozemku  dále oprávnění ve smyslu ustanovení § 25 odst. 3 písm. f) a g) energetického zákona, především pak právo vstupovat a vjíždět na Pozemek  v souvislosti s realizací práv vyplývajících jí z věcného břemene podle čl. II bod 3 této Smlouvy.</w:t>
      </w:r>
    </w:p>
    <w:p>
      <w:pPr>
        <w:pStyle w:val="vpCalibri105inum"/>
        <w:keepNext w:val="0"/>
        <w:numPr>
          <w:ilvl w:val="0"/>
          <w:numId w:val="16"/>
        </w:numPr>
      </w:pPr>
      <w:r>
        <w:rPr/>
        <w:t xml:space="preserve">Budoucí oprávněná je povinna při výkonu oprávnění postupovat coby PDS striktně ve smyslu § 25 odst. 8 energetického zákona, tj. co nejvíce šetřit práva Budoucí povinné a vstup na Pozemek  ji bezprostředně oznámit. Po skončení prací je povinna uvést Pozemek  do předchozího stavu, a není-li to možné s ohledem na povahu provedených prací, do stavu odpovídajícího předchozímu účelu nebo užívání Pozemku a bezprostředně oznámit tuto skutečnost Budoucí povinné.</w:t>
      </w:r>
    </w:p>
    <w:p>
      <w:pPr>
        <w:pStyle w:val="vpCalibri105inum"/>
        <w:keepNext w:val="0"/>
        <w:numPr>
          <w:ilvl w:val="0"/>
          <w:numId w:val="16"/>
        </w:numPr>
      </w:pPr>
      <w:r>
        <w:rPr/>
        <w:t xml:space="preserve">Po provedení odstranění nebo okleštění stromoví je Budoucí oprávněna povinna na svůj náklad provést likvidaci vzniklého klestu a zbytků po těžbě.</w:t>
      </w:r>
    </w:p>
    <w:p>
      <w:pPr>
        <w:pStyle w:val="vpCalibri12biucenter"/>
        <w:keepNext/>
      </w:pPr>
      <w:r>
        <w:rPr/>
        <w:t xml:space="preserve">Článek IV. – Ostatní ujednání:</w:t>
      </w:r>
    </w:p>
    <w:p>
      <w:pPr>
        <w:pStyle w:val="vpCalibri105inum"/>
        <w:keepNext w:val="0"/>
        <w:numPr>
          <w:ilvl w:val="0"/>
          <w:numId w:val="17"/>
        </w:numPr>
      </w:pPr>
      <w:r>
        <w:rPr/>
        <w:t xml:space="preserve">Práva a povinnosti vyplývající z této Smlouvy přechází v plném rozsahu i na právní nástupce obou Smluvních stran. Dojde-li ke změně vlastníka Pozemku, je nutné práva a povinnosti z této Smlouvy postoupit na nového nabyvatele Pozemku.  Postoupení Smlouvy bude provedeno v souladu s ustanoveními § 1895 a násl. občanského zákoníku a Budoucí povinná se zavazuje řádné postoupení zajistit, nového nabyvatele písemně zavázat touto Smlouvou a informovat o této skutečnosti Budoucí oprávněnou.</w:t>
      </w:r>
    </w:p>
    <w:p>
      <w:pPr>
        <w:pStyle w:val="vpCalibri105inum"/>
        <w:keepNext w:val="0"/>
        <w:numPr>
          <w:ilvl w:val="0"/>
          <w:numId w:val="17"/>
        </w:numPr>
      </w:pPr>
      <w:r>
        <w:rPr/>
        <w:t xml:space="preserve">Smluvní strany se dohodly, že návrh na zahájení řízení o zápisu práva věcného břemene zřizovanému smlouvou o zřízení věcného břemene k Pozemku do katastru nemovitostí bude podán příslušnému katastrálnímu úřadu Budoucí oprávněnou. Správní poplatek za návrh na zahájení řízení o povolení vkladu práva do katastru nemovitostí uhradí Budoucí oprávněná.</w:t>
      </w:r>
    </w:p>
    <w:p>
      <w:pPr>
        <w:pStyle w:val="vpCalibri105inum"/>
        <w:keepNext w:val="0"/>
        <w:numPr>
          <w:ilvl w:val="0"/>
          <w:numId w:val="17"/>
        </w:numPr>
      </w:pPr>
      <w:r>
        <w:rPr/>
        <w:t xml:space="preserve">Věcné břemeno podle smlouvy o zřízení věcného břemene vzniká v souladu s ustanovením občanského zákoníku zápisem do veřejného seznamu (katastr nemovitostí). Právní účinky zápisu nastávají k okamžiku, kdy návrh na zápis došel příslušnému katastrálnímu úřadu.</w:t>
      </w:r>
    </w:p>
    <w:p>
      <w:pPr>
        <w:pStyle w:val="vpCalibri105inum"/>
        <w:keepNext w:val="0"/>
        <w:numPr>
          <w:ilvl w:val="0"/>
          <w:numId w:val="17"/>
        </w:numPr>
      </w:pPr>
      <w:r>
        <w:rPr/>
        <w:t xml:space="preserve">Smluvní strany se zavazují, že pokud příslušný katastrální úřad vyzve účastníky k odstranění případných nedostatků návrhu na zahájení řízení o povolení vkladu, případně listiny, na základě, které má být právo zapsáno, vyvinou potřebnou součinnost k jejich odstranění ve stanovené lhůtě.</w:t>
      </w:r>
    </w:p>
    <w:p>
      <w:pPr>
        <w:pStyle w:val="vpCalibri105inum"/>
        <w:keepNext w:val="0"/>
        <w:numPr>
          <w:ilvl w:val="0"/>
          <w:numId w:val="17"/>
        </w:numPr>
      </w:pPr>
      <w:r>
        <w:rPr/>
        <w:t xml:space="preserve">V případě, že příslušný katastrální úřad v řízení o povolení vkladu řízení zastaví či zamítne, Smluvní strany se zavazují poté uzavřít ve lhůtě do 30 - ti kalendářních dní ode dne doručení rozhodnutí katastrálního úřadu o zastavení či zamítnutí vkladu oběma Smluvním stranám novou smlouvu o zřízení věcného břemene s totožným obsahem za stejných cenových podmínek, ve které budou odstraněny všechny nedostatky, které bránily povolení vkladu práva dle této smlouvy, bude-li to možné.</w:t>
      </w:r>
    </w:p>
    <w:p>
      <w:pPr>
        <w:pStyle w:val="vpCalibri12biucenter"/>
        <w:keepNext/>
      </w:pPr>
      <w:r>
        <w:rPr/>
        <w:t xml:space="preserve">Článek V. – Ochrana osobních údajů:</w:t>
      </w:r>
    </w:p>
    <w:p>
      <w:pPr>
        <w:pStyle w:val="vpCalibri105inum"/>
        <w:keepNext w:val="0"/>
        <w:numPr>
          <w:ilvl w:val="0"/>
          <w:numId w:val="18"/>
        </w:numPr>
      </w:pPr>
      <w:r>
        <w:rPr/>
        <w:t xml:space="preserve">V tomto článku jsou uvedeny základní informace o zpracování osobních údajů zástupců Budoucí povinné Budoucí oprávněnou. Podrobné informace jsou dostupné na www.egd.cz v sekci Ochrana osobních údajů.</w:t>
      </w:r>
    </w:p>
    <w:p>
      <w:pPr>
        <w:pStyle w:val="vpCalibri105inum"/>
        <w:keepNext w:val="0"/>
        <w:numPr>
          <w:ilvl w:val="0"/>
          <w:numId w:val="18"/>
        </w:numPr>
      </w:pPr>
      <w:r>
        <w:rPr/>
        <w:t xml:space="preserve">Budoucí oprávněná bude zpracovávat osobní údaje zástupce Budoucí povinné na základě svého oprávněného zájmu pro účely přípravy, uzavření a plnění této Smlouvy a smlouvy o zřízení věcného břemene, vnitřní evidence a kontroly, ochrany právních nároků a provozních potřeb. Proti takovému zpracování má zástupce Budoucí povinné právo podat námitku.</w:t>
      </w:r>
    </w:p>
    <w:p>
      <w:pPr>
        <w:pStyle w:val="vpCalibri105inum"/>
        <w:keepNext w:val="0"/>
        <w:numPr>
          <w:ilvl w:val="0"/>
          <w:numId w:val="18"/>
        </w:numPr>
      </w:pPr>
      <w:r>
        <w:rPr/>
        <w:t xml:space="preserve">Podpisem této Smlouvy zástupce Budoucí povinné potvrzuje, že se seznámil s informacemi uvedenými v tomto článku a dalšími informacemi o zpracování osobních údajů dostupnými na www.egd.cz v sekci Ochrana osobních údajů, a to včetně práv, které Budoucí povinné a jejím zástupců náleží.</w:t>
      </w:r>
    </w:p>
    <w:p>
      <w:pPr>
        <w:pStyle w:val="vpCalibri12biucenter"/>
        <w:keepNext/>
      </w:pPr>
      <w:r>
        <w:rPr/>
        <w:t xml:space="preserve">Článek VI. - Závěrečná ujednání:</w:t>
      </w:r>
    </w:p>
    <w:p>
      <w:pPr>
        <w:pStyle w:val="vpCalibri105inum"/>
        <w:keepNext w:val="0"/>
        <w:numPr>
          <w:ilvl w:val="0"/>
          <w:numId w:val="19"/>
        </w:numPr>
      </w:pPr>
      <w:r>
        <w:rPr/>
        <w:t xml:space="preserve">Budoucí povinná jako vlastník Pozemku dotčeného Stavbou a účastník územního řízení touto Smlouvou uděluje souhlas s provedením Stavby uvedené v čl. I bod 3 této smlouvy. Budoucí povinná současně ve smyslu § 187 zákona č. 283/2021 Sb., o územním plánování a stavebním řádu (stavební zákon) dala souhlas s navrhovaným stavebním záměrem a to podpisem vyznačeným na situačním výkrese dokumentace, dále souhlasí s vydáním příslušného správního povolení na Stavbu a se vstupem (a vjezdem) Budoucí oprávněné, popř. jí pověřených třetích osob na Pozemek v souvislosti s realizací Stavby. Umístění distribuční soustavy je patrné z přiloženého situačního snímku (popř. snímku katastrální mapy), jenž je nedílnou součástí této Smlouvy.</w:t>
      </w:r>
    </w:p>
    <w:p>
      <w:pPr>
        <w:pStyle w:val="vpCalibri105inum"/>
        <w:keepNext w:val="0"/>
        <w:numPr>
          <w:ilvl w:val="0"/>
          <w:numId w:val="19"/>
        </w:numPr>
      </w:pPr>
      <w:r>
        <w:rPr/>
        <w:t xml:space="preserve">Tato Smlouva nabývá platnosti a účinnosti dnem jejího podpisu zástupci obou Smluvních stran.</w:t>
      </w:r>
    </w:p>
    <w:p>
      <w:pPr>
        <w:pStyle w:val="vpCalibri105inum"/>
        <w:keepNext w:val="0"/>
        <w:numPr>
          <w:ilvl w:val="0"/>
          <w:numId w:val="19"/>
        </w:numPr>
      </w:pPr>
      <w:r>
        <w:rPr/>
        <w:t xml:space="preserve">Pro případ, že tato Smlouva není uzavírána za přítomnosti obou Smluvních stran, platí, že Smlouva nebude uzavřena, pokud ji Budoucí povinná či Budoucí oprávněná podepíší s jakoukoliv změnou či odchylkou, byť nepodstatnou, nebo dodatkem, ledaže druhá smluvní strana takovou změnu či odchylku nebo dodatek následně schválí.</w:t>
      </w:r>
    </w:p>
    <w:p>
      <w:pPr>
        <w:pStyle w:val="vpCalibri105inum"/>
        <w:keepNext w:val="0"/>
        <w:numPr>
          <w:ilvl w:val="0"/>
          <w:numId w:val="19"/>
        </w:numPr>
      </w:pPr>
      <w:r>
        <w:rPr/>
        <w:t xml:space="preserve">V případě, že Stavba nebude z jakýchkoliv důvodů realizována nebo pokud Pozemek nebude distribuční soustavou dotčen, nejsou Smluvní strany výše uvedenými závazky vázány. Budoucí oprávněná tuto skutečnost písemně oznámí Budoucí povinné.</w:t>
      </w:r>
    </w:p>
    <w:p>
      <w:pPr>
        <w:pStyle w:val="vpCalibri105inum"/>
        <w:keepNext w:val="0"/>
        <w:numPr>
          <w:ilvl w:val="0"/>
          <w:numId w:val="19"/>
        </w:numPr>
      </w:pPr>
      <w:r>
        <w:rPr/>
        <w:t xml:space="preserve">Smlouva může být měněna nebo doplňována pouze formou vzestupně číslovaných písemných dodatků podepsaných oběma Smluvními stranami.</w:t>
      </w:r>
    </w:p>
    <w:p>
      <w:pPr>
        <w:pStyle w:val="vpCalibri105inum"/>
        <w:keepNext w:val="0"/>
        <w:numPr>
          <w:ilvl w:val="0"/>
          <w:numId w:val="19"/>
        </w:numPr>
      </w:pPr>
      <w:r>
        <w:rPr/>
        <w:t xml:space="preserve">Na právní vztahy vyplývající nebo související s touto Smlouvou a v ní nebo v energetickém zákoně výslovně neupravené se přiměřeně uplatní ustanovení občanského zákoníku</w:t>
      </w:r>
    </w:p>
    <w:p>
      <w:pPr>
        <w:pStyle w:val="vpCalibri105inum"/>
        <w:keepNext w:val="0"/>
        <w:numPr>
          <w:ilvl w:val="0"/>
          <w:numId w:val="19"/>
        </w:numPr>
      </w:pPr>
      <w:r>
        <w:rPr/>
        <w:t xml:space="preserve">Smlouva je vyhotovena v (ve) 2 stejnopisech, z nichž každý má platnost originálu. Budoucí oprávněná obdrží  1  její vyhotovení. Zbylá jsou určena pro Budoucí povinnou.</w:t>
      </w:r>
    </w:p>
    <w:p>
      <w:pPr>
        <w:pStyle w:val="vpCalibri105inum"/>
        <w:keepNext w:val="0"/>
        <w:numPr>
          <w:ilvl w:val="0"/>
          <w:numId w:val="19"/>
        </w:numPr>
      </w:pPr>
      <w:r>
        <w:rPr/>
        <w:t xml:space="preserve">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 Smluvní strany prohlašují, že Smlouva představuje úplnou dohodu o veškerých jejích náležitostech a neexistují náležitosti, které by Smluvní strany neujednaly.</w:t>
      </w:r>
    </w:p>
    <w:p>
      <w:pPr>
        <w:pStyle w:val="vpCalibri105biHeadLeft"/>
        <w:keepNext/>
      </w:pPr>
      <w:r>
        <w:rPr/>
        <w:t xml:space="preserve">Přílohy:</w:t>
      </w:r>
    </w:p>
    <w:p>
      <w:pPr>
        <w:pStyle w:val="vpCalibri105inum"/>
        <w:keepNext w:val="0"/>
        <w:numPr>
          <w:ilvl w:val="0"/>
          <w:numId w:val="20"/>
        </w:numPr>
      </w:pPr>
      <w:r>
        <w:rPr/>
        <w:t xml:space="preserve">Situační snímek plánovaného umístění distribuční soustavy – nedílná součást Smlouvy.</w:t>
      </w:r>
    </w:p>
    <w:p>
      <w:pPr>
        <w:pStyle w:val="vpCalibri105i"/>
      </w:pPr>
    </w:p>
    <w:tbl>
      <w:tblPr>
        <w:tblStyle w:val="Normal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firstRow="0" w:lastRow="0" w:firstColumn="0" w:lastColumn="0" w:noHBand="1" w:noVBand="1"/>
      </w:tblPr>
      <w:tblGrid>
        <w:gridCol w:w="4752"/>
        <w:gridCol w:w="198"/>
        <w:gridCol w:w="4950"/>
      </w:tblGrid>
      <w:tr>
        <w:trPr>
          <w:trHeight w:val="800"/>
        </w:trPr>
        <w:tc>
          <w:tcPr>
            <w:tcW w:w="2400" w:type="pct"/>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auto"/>
          </w:tcPr>
          <w:p>
            <w:pPr>
              <w:pStyle w:val="vpCalibri105i"/>
              <w:keepNext/>
            </w:pPr>
            <w:r>
              <w:t xml:space="preserve">Budoucí povinná</w:t>
            </w:r>
            <w:r>
              <w:br/>
            </w:r>
          </w:p>
        </w:tc>
        <w:tc>
          <w:tcPr>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auto"/>
          </w:tcPr>
          <w:p>
            <w:pPr>
              <w:pStyle w:val="vpCalibri105i"/>
              <w:keepNext/>
            </w:pPr>
            <w:r>
              <w:t xml:space="preserve">Budoucí oprávněná</w:t>
            </w:r>
          </w:p>
        </w:tc>
      </w:tr>
      <w:tr>
        <w:trPr>
          <w:trHeight w:val="1200"/>
        </w:trPr>
        <w:tc>
          <w:tcPr>
            <w:tcW w:w="2500" w:type="pct"/>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auto"/>
          </w:tcPr>
          <w:p>
            <w:pPr>
              <w:pStyle w:val="vpCalibri105i"/>
              <w:keepNext/>
            </w:pPr>
            <w:r>
              <w:t xml:space="preserve">V(ve)....................................., dne......................</w:t>
            </w:r>
            <w:r>
              <w:br/>
              <w:br/>
              <w:br/>
            </w:r>
          </w:p>
          <w:p>
            <w:pPr>
              <w:pStyle w:val="vpCalibri105bi"/>
              <w:keepNext/>
              <w:jc w:val="left"/>
            </w:pPr>
            <w:r>
              <w:rPr>
                <w:b w:val="0"/>
              </w:rPr>
              <w:t xml:space="preserve">______________________________________</w:t>
              <w:br/>
            </w:r>
            <w:r>
              <w:t xml:space="preserve">Obec Ondratice</w:t>
              <w:br/>
            </w:r>
            <w:r>
              <w:t xml:space="preserve">Mgr. Bohuslav Koštanský</w:t>
            </w:r>
            <w:r>
              <w:t xml:space="preserve">, starosta obce</w:t>
              <w:br/>
            </w:r>
            <w:r>
              <w:br/>
              <w:br/>
            </w:r>
          </w:p>
        </w:tc>
        <w:tc>
          <w:tcPr>
            <w:tcW w:w="2500" w:type="pct"/>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auto"/>
          </w:tcPr>
          <w:p>
            <w:pPr>
              <w:pStyle w:val="vpCalibri105i"/>
              <w:keepNext/>
            </w:pPr>
            <w:r>
              <w:t xml:space="preserve">V (ve): Prostějov, dne........................</w:t>
            </w:r>
          </w:p>
          <w:p>
            <w:pPr>
              <w:pStyle w:val="vpCalibri105bi"/>
              <w:keepNext/>
            </w:pPr>
            <w:r>
              <w:br/>
              <w:br/>
              <w:br/>
            </w:r>
            <w:r>
              <w:rPr>
                <w:b w:val="0"/>
              </w:rPr>
              <w:t xml:space="preserve">______________________________________</w:t>
              <w:br/>
            </w:r>
            <w:r>
              <w:t xml:space="preserve">EG.D, s.r.o.</w:t>
            </w:r>
          </w:p>
          <w:p>
            <w:pPr>
              <w:pStyle w:val="vpCalibri105bi"/>
              <w:keepNext/>
            </w:pPr>
            <w:r>
              <w:t xml:space="preserve">Jiří Jančík</w:t>
            </w:r>
          </w:p>
          <w:p>
            <w:pPr>
              <w:pStyle w:val="vpCalibri105i"/>
              <w:keepNext/>
            </w:pPr>
            <w:r>
              <w:t xml:space="preserve">Senior technik rozvoje a výstavby</w:t>
            </w:r>
          </w:p>
        </w:tc>
      </w:tr>
    </w:tbl>
    <w:p>
      <w:pPr>
        <w:spacing w:line="40"/>
      </w:pPr>
    </w:p>
    <w:tbl>
      <w:tblPr>
        <w:tblStyle w:val="Normal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firstRow="0" w:lastRow="0" w:firstColumn="0" w:lastColumn="0" w:noHBand="1" w:noVBand="1"/>
      </w:tblPr>
      <w:tblGrid>
        <w:gridCol w:w="4950"/>
        <w:gridCol w:w="4950"/>
      </w:tblGrid>
      <w:tr>
        <w:trPr/>
        <w:tc>
          <w:tcPr>
            <w:tcW w:w="2500" w:type="pct"/>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auto"/>
          </w:tcPr>
          <w:p>
            <w:pPr/>
          </w:p>
        </w:tc>
        <w:tc>
          <w:tcPr>
            <w:tcW w:w="2500" w:type="pct"/>
            <w:tcBorders>
              <w:top w:val="none" w:sz="0" w:space="0" w:color="auto"/>
              <w:left w:val="none" w:sz="0" w:space="0" w:color="auto"/>
              <w:bottom w:val="none" w:sz="0" w:space="0" w:color="auto"/>
              <w:right w:val="none" w:sz="0" w:space="0" w:color="auto"/>
              <w:insideH w:val="none" w:sz="0" w:space="0" w:color="auto"/>
              <w:insideV w:val="none" w:sz="0" w:space="0" w:color="auto"/>
            </w:tcBorders>
            <w:shd w:val="clear" w:color="auto" w:fill="auto"/>
          </w:tcPr>
          <w:p>
            <w:pPr>
              <w:pStyle w:val="vpCalibri105bi"/>
              <w:keepNext/>
            </w:pPr>
            <w:r>
              <w:br/>
              <w:br/>
              <w:br/>
            </w:r>
            <w:r>
              <w:br/>
            </w:r>
            <w:r>
              <w:rPr>
                <w:b w:val="0"/>
              </w:rPr>
              <w:t xml:space="preserve">______________________________________</w:t>
              <w:br/>
            </w:r>
            <w:r>
              <w:t xml:space="preserve">EG.D, s.r.o.</w:t>
            </w:r>
          </w:p>
          <w:p>
            <w:pPr>
              <w:pStyle w:val="vpCalibri105bi"/>
              <w:keepNext/>
            </w:pPr>
            <w:r>
              <w:t xml:space="preserve">Blanka Dudová</w:t>
            </w:r>
          </w:p>
          <w:p>
            <w:pPr>
              <w:pStyle w:val="vpCalibri105i"/>
              <w:keepNext/>
            </w:pPr>
            <w:r>
              <w:t xml:space="preserve">Technik výstavby a obnovy DS</w:t>
            </w:r>
          </w:p>
        </w:tc>
      </w:tr>
    </w:tbl>
    <w:p>
      <w:pPr>
        <w:spacing w:line="40"/>
      </w:pPr>
    </w:p>
    <w:sectPr>
      <w:footerReference w:type="default" r:id="rId2"/>
      <w:pgSz w:w="11900" w:h="16840" w:orient="portrait"/>
      <w:pgMar w:top="1600" w:right="1000" w:bottom="1600" w:left="1000" w:header="720" w:footer="72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EE"/>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EE"/>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Auto"/>
    <w:pitch w:val="variable"/>
    <w:sig w:usb0="E0002AFF" w:usb1="C000247B" w:usb2="00000009" w:usb3="00000000" w:csb0="000001FF" w:csb1="00000000"/>
  </w:font>
  <w:font w:name="Tahoma">
    <w:panose1 w:val="020B0604030504040204"/>
    <w:charset w:val="EE"/>
    <w:family w:val="Auto"/>
    <w:pitch w:val="variable"/>
    <w:sig w:usb0="E1002EFF" w:usb1="C000605B" w:usb2="00000029" w:usb3="00000000" w:csb0="000101FF" w:csb1="00000000"/>
  </w:font>
  <w:font w:name="Segoe UI">
    <w:panose1 w:val="020B0502040204020203"/>
    <w:charset w:val="EE"/>
    <w:family w:val="Auto"/>
    <w:pitch w:val="variable"/>
    <w:sig w:usb0="E4002EFF" w:usb1="C000E47F" w:usb2="00000009" w:usb3="00000000" w:csb0="000001FF" w:csb1="00000000"/>
  </w:font>
  <w:font w:name="Calibri Light">
    <w:panose1 w:val="020F0302020204030204"/>
    <w:charset w:val="EE"/>
    <w:family w:val="Auto"/>
    <w:pitch w:val="variable"/>
    <w:sig w:usb0="E0002A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firstRow="0" w:lastRow="0" w:firstColumn="0" w:lastColumn="0" w:noHBand="1" w:noVBand="1"/>
    </w:tblPr>
    <w:tblGrid>
      <w:gridCol w:w="4950"/>
      <w:gridCol w:w="4950"/>
    </w:tblGrid>
    <w:tr>
      <w:trPr/>
      <w:tc>
        <w:tcPr>
          <w:tcW w:w="2500" w:type="pct"/>
          <w:tcBorders>
            <w:top w:val="single" w:sz="4" w:space="0" w:color="auto"/>
            <w:left w:val="none" w:sz="0" w:space="0" w:color="auto"/>
            <w:bottom w:val="none" w:sz="0" w:space="0" w:color="auto"/>
            <w:right w:val="none" w:sz="0" w:space="0" w:color="auto"/>
            <w:insideH w:val="none" w:sz="0" w:space="0" w:color="auto"/>
            <w:insideV w:val="none" w:sz="0" w:space="0" w:color="auto"/>
          </w:tcBorders>
          <w:shd w:val="clear" w:color="auto" w:fill="auto"/>
        </w:tcPr>
        <w:p>
          <w:pPr>
            <w:pStyle w:val="PrvekFooterStyle"/>
            <w:jc w:val="left"/>
          </w:pPr>
          <w:r>
            <w:fldChar w:fldCharType="begin"/>
          </w:r>
          <w:r>
            <w:instrText xml:space="preserve">PAGE "page number"</w:instrText>
          </w:r>
          <w:r>
            <w:fldChar w:fldCharType="separate"/>
          </w:r>
          <w:r>
            <w:t xml:space="preserve">page number</w:t>
          </w:r>
          <w:r>
            <w:fldChar w:fldCharType="end"/>
          </w:r>
          <w:r>
            <w:t xml:space="preserve">/</w:t>
          </w:r>
          <w:r>
            <w:fldChar w:fldCharType="begin"/>
          </w:r>
          <w:r>
            <w:instrText xml:space="preserve">NUMPAGES "number of pages"</w:instrText>
          </w:r>
          <w:r>
            <w:fldChar w:fldCharType="separate"/>
          </w:r>
          <w:r>
            <w:t xml:space="preserve">number of pages</w:t>
          </w:r>
          <w:r>
            <w:fldChar w:fldCharType="end"/>
          </w:r>
        </w:p>
      </w:tc>
      <w:tc>
        <w:tcPr>
          <w:tcW w:w="2500" w:type="pct"/>
          <w:tcBorders>
            <w:top w:val="single" w:sz="4" w:space="0" w:color="auto"/>
            <w:left w:val="none" w:sz="0" w:space="0" w:color="auto"/>
            <w:bottom w:val="none" w:sz="0" w:space="0" w:color="auto"/>
            <w:right w:val="none" w:sz="0" w:space="0" w:color="auto"/>
            <w:insideH w:val="none" w:sz="0" w:space="0" w:color="auto"/>
            <w:insideV w:val="none" w:sz="0" w:space="0" w:color="auto"/>
          </w:tcBorders>
          <w:shd w:val="clear" w:color="auto" w:fill="auto"/>
        </w:tcPr>
        <w:p>
          <w:pPr>
            <w:pStyle w:val="PrvekFooterStyle"/>
            <w:jc w:val="right"/>
          </w:pPr>
          <w:r>
            <w:t xml:space="preserve">PR-001030089689/001-MOPR</w:t>
          </w:r>
        </w:p>
      </w:tc>
    </w:tr>
  </w:tbl>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1"/>
      <w:numFmt w:val="decimal"/>
      <w:suff w:val="tab"/>
      <w:lvlText w:val="%1."/>
      <w:lvlJc w:val="left"/>
      <w:pPr>
        <w:ind w:left="1506" w:hanging="360"/>
      </w:pPr>
      <w:rPr>
        <w:rFonts w:cs="Times New Roman" w:hint="default"/>
      </w:rPr>
    </w:lvl>
    <w:lvl w:ilvl="1">
      <w:start w:val="1"/>
      <w:numFmt w:val="lowerLetter"/>
      <w:suff w:val="tab"/>
      <w:lvlText w:val="%2."/>
      <w:lvlJc w:val="left"/>
      <w:pPr>
        <w:ind w:left="1800" w:hanging="360"/>
      </w:pPr>
      <w:rPr>
        <w:rFonts w:cs="Times New Roman"/>
      </w:rPr>
    </w:lvl>
    <w:lvl w:ilvl="2">
      <w:start w:val="1"/>
      <w:numFmt w:val="lowerRoman"/>
      <w:suff w:val="tab"/>
      <w:lvlText w:val="%3."/>
      <w:lvlJc w:val="right"/>
      <w:pPr>
        <w:ind w:left="2520" w:hanging="180"/>
      </w:pPr>
      <w:rPr>
        <w:rFonts w:cs="Times New Roman"/>
      </w:rPr>
    </w:lvl>
    <w:lvl w:ilvl="3">
      <w:start w:val="1"/>
      <w:numFmt w:val="decimal"/>
      <w:suff w:val="tab"/>
      <w:lvlText w:val="%4."/>
      <w:lvlJc w:val="left"/>
      <w:pPr>
        <w:ind w:left="3240" w:hanging="360"/>
      </w:pPr>
      <w:rPr>
        <w:rFonts w:cs="Times New Roman"/>
      </w:rPr>
    </w:lvl>
    <w:lvl w:ilvl="4">
      <w:start w:val="1"/>
      <w:numFmt w:val="lowerLetter"/>
      <w:suff w:val="tab"/>
      <w:lvlText w:val="%5."/>
      <w:lvlJc w:val="left"/>
      <w:pPr>
        <w:ind w:left="3960" w:hanging="360"/>
      </w:pPr>
      <w:rPr>
        <w:rFonts w:cs="Times New Roman"/>
      </w:rPr>
    </w:lvl>
    <w:lvl w:ilvl="5">
      <w:start w:val="1"/>
      <w:numFmt w:val="lowerRoman"/>
      <w:suff w:val="tab"/>
      <w:lvlText w:val="%6."/>
      <w:lvlJc w:val="right"/>
      <w:pPr>
        <w:ind w:left="4680" w:hanging="180"/>
      </w:pPr>
      <w:rPr>
        <w:rFonts w:cs="Times New Roman"/>
      </w:rPr>
    </w:lvl>
    <w:lvl w:ilvl="6">
      <w:start w:val="1"/>
      <w:numFmt w:val="decimal"/>
      <w:suff w:val="tab"/>
      <w:lvlText w:val="%7."/>
      <w:lvlJc w:val="left"/>
      <w:pPr>
        <w:ind w:left="5400" w:hanging="360"/>
      </w:pPr>
      <w:rPr>
        <w:rFonts w:cs="Times New Roman"/>
      </w:rPr>
    </w:lvl>
    <w:lvl w:ilvl="7">
      <w:start w:val="1"/>
      <w:numFmt w:val="lowerLetter"/>
      <w:suff w:val="tab"/>
      <w:lvlText w:val="%8."/>
      <w:lvlJc w:val="left"/>
      <w:pPr>
        <w:ind w:left="6120" w:hanging="360"/>
      </w:pPr>
      <w:rPr>
        <w:rFonts w:cs="Times New Roman"/>
      </w:rPr>
    </w:lvl>
    <w:lvl w:ilvl="8">
      <w:start w:val="1"/>
      <w:numFmt w:val="lowerRoman"/>
      <w:suff w:val="tab"/>
      <w:lvlText w:val="%9."/>
      <w:lvlJc w:val="right"/>
      <w:pPr>
        <w:ind w:left="6840" w:hanging="180"/>
      </w:pPr>
      <w:rPr>
        <w:rFonts w:cs="Times New Roman"/>
      </w:rPr>
    </w:lvl>
  </w:abstractNum>
  <w:abstractNum w:abstractNumId="3">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4">
    <w:multiLevelType w:val="hybridMultilevel"/>
    <w:lvl w:ilvl="0">
      <w:start w:val="1"/>
      <w:numFmt w:val="decimal"/>
      <w:suff w:val="tab"/>
      <w:lvlText w:val="%1."/>
      <w:lvlJc w:val="left"/>
      <w:pPr>
        <w:ind w:left="1572" w:hanging="360"/>
      </w:pPr>
      <w:rPr>
        <w:rFonts w:cs="Times New Roman" w:hint="default"/>
      </w:rPr>
    </w:lvl>
    <w:lvl w:ilvl="1">
      <w:start w:val="1"/>
      <w:numFmt w:val="lowerLetter"/>
      <w:suff w:val="tab"/>
      <w:lvlText w:val="%2."/>
      <w:lvlJc w:val="left"/>
      <w:pPr>
        <w:ind w:left="1440" w:hanging="360"/>
      </w:pPr>
      <w:rPr>
        <w:rFonts w:cs="Times New Roman"/>
      </w:rPr>
    </w:lvl>
    <w:lvl w:ilvl="2">
      <w:start w:val="1"/>
      <w:numFmt w:val="lowerRoman"/>
      <w:suff w:val="tab"/>
      <w:lvlText w:val="%3."/>
      <w:lvlJc w:val="right"/>
      <w:pPr>
        <w:ind w:left="2160" w:hanging="180"/>
      </w:pPr>
      <w:rPr>
        <w:rFonts w:cs="Times New Roman"/>
      </w:rPr>
    </w:lvl>
    <w:lvl w:ilvl="3">
      <w:start w:val="1"/>
      <w:numFmt w:val="decimal"/>
      <w:suff w:val="tab"/>
      <w:lvlText w:val="%4."/>
      <w:lvlJc w:val="left"/>
      <w:pPr>
        <w:ind w:left="2880" w:hanging="360"/>
      </w:pPr>
      <w:rPr>
        <w:rFonts w:cs="Times New Roman"/>
      </w:rPr>
    </w:lvl>
    <w:lvl w:ilvl="4">
      <w:start w:val="1"/>
      <w:numFmt w:val="lowerLetter"/>
      <w:suff w:val="tab"/>
      <w:lvlText w:val="%5."/>
      <w:lvlJc w:val="left"/>
      <w:pPr>
        <w:ind w:left="3600" w:hanging="360"/>
      </w:pPr>
      <w:rPr>
        <w:rFonts w:cs="Times New Roman"/>
      </w:rPr>
    </w:lvl>
    <w:lvl w:ilvl="5">
      <w:start w:val="1"/>
      <w:numFmt w:val="lowerRoman"/>
      <w:suff w:val="tab"/>
      <w:lvlText w:val="%6."/>
      <w:lvlJc w:val="right"/>
      <w:pPr>
        <w:ind w:left="4320" w:hanging="180"/>
      </w:pPr>
      <w:rPr>
        <w:rFonts w:cs="Times New Roman"/>
      </w:rPr>
    </w:lvl>
    <w:lvl w:ilvl="6">
      <w:start w:val="1"/>
      <w:numFmt w:val="decimal"/>
      <w:suff w:val="tab"/>
      <w:lvlText w:val="%7."/>
      <w:lvlJc w:val="left"/>
      <w:pPr>
        <w:ind w:left="5040" w:hanging="360"/>
      </w:pPr>
      <w:rPr>
        <w:rFonts w:cs="Times New Roman"/>
      </w:rPr>
    </w:lvl>
    <w:lvl w:ilvl="7">
      <w:start w:val="1"/>
      <w:numFmt w:val="lowerLetter"/>
      <w:suff w:val="tab"/>
      <w:lvlText w:val="%8."/>
      <w:lvlJc w:val="left"/>
      <w:pPr>
        <w:ind w:left="5760" w:hanging="360"/>
      </w:pPr>
      <w:rPr>
        <w:rFonts w:cs="Times New Roman"/>
      </w:rPr>
    </w:lvl>
    <w:lvl w:ilvl="8">
      <w:start w:val="1"/>
      <w:numFmt w:val="lowerRoman"/>
      <w:suff w:val="tab"/>
      <w:lvlText w:val="%9."/>
      <w:lvlJc w:val="right"/>
      <w:pPr>
        <w:ind w:left="6480" w:hanging="180"/>
      </w:pPr>
      <w:rPr>
        <w:rFonts w:cs="Times New Roman"/>
      </w:rPr>
    </w:lvl>
  </w:abstractNum>
  <w:abstractNum w:abstractNumId="5">
    <w:multiLevelType w:val="hybridMultilevel"/>
    <w:lvl w:ilvl="0">
      <w:start w:val="1"/>
      <w:numFmt w:val="decimal"/>
      <w:pStyle w:val="p_Blok"/>
      <w:suff w:val="tab"/>
      <w:lvlText w:val="%1."/>
      <w:lvlJc w:val="left"/>
      <w:pPr>
        <w:ind w:left="1146" w:hanging="360"/>
      </w:pPr>
      <w:rPr>
        <w:rFonts w:cs="Times New Roman" w:hint="default"/>
      </w:rPr>
    </w:lvl>
    <w:lvl w:ilvl="1">
      <w:start w:val="1"/>
      <w:numFmt w:val="lowerLetter"/>
      <w:suff w:val="tab"/>
      <w:lvlText w:val="%2."/>
      <w:lvlJc w:val="left"/>
      <w:pPr>
        <w:ind w:left="1800" w:hanging="360"/>
      </w:pPr>
      <w:rPr>
        <w:rFonts w:cs="Times New Roman"/>
      </w:rPr>
    </w:lvl>
    <w:lvl w:ilvl="2">
      <w:start w:val="1"/>
      <w:numFmt w:val="lowerRoman"/>
      <w:suff w:val="tab"/>
      <w:lvlText w:val="%3."/>
      <w:lvlJc w:val="right"/>
      <w:pPr>
        <w:ind w:left="2520" w:hanging="180"/>
      </w:pPr>
      <w:rPr>
        <w:rFonts w:cs="Times New Roman"/>
      </w:rPr>
    </w:lvl>
    <w:lvl w:ilvl="3">
      <w:start w:val="1"/>
      <w:numFmt w:val="decimal"/>
      <w:suff w:val="tab"/>
      <w:lvlText w:val="%4."/>
      <w:lvlJc w:val="left"/>
      <w:pPr>
        <w:ind w:left="3240" w:hanging="360"/>
      </w:pPr>
      <w:rPr>
        <w:rFonts w:cs="Times New Roman"/>
      </w:rPr>
    </w:lvl>
    <w:lvl w:ilvl="4">
      <w:start w:val="1"/>
      <w:numFmt w:val="lowerLetter"/>
      <w:suff w:val="tab"/>
      <w:lvlText w:val="%5."/>
      <w:lvlJc w:val="left"/>
      <w:pPr>
        <w:ind w:left="3960" w:hanging="360"/>
      </w:pPr>
      <w:rPr>
        <w:rFonts w:cs="Times New Roman"/>
      </w:rPr>
    </w:lvl>
    <w:lvl w:ilvl="5">
      <w:start w:val="1"/>
      <w:numFmt w:val="lowerRoman"/>
      <w:suff w:val="tab"/>
      <w:lvlText w:val="%6."/>
      <w:lvlJc w:val="right"/>
      <w:pPr>
        <w:ind w:left="4680" w:hanging="180"/>
      </w:pPr>
      <w:rPr>
        <w:rFonts w:cs="Times New Roman"/>
      </w:rPr>
    </w:lvl>
    <w:lvl w:ilvl="6">
      <w:start w:val="1"/>
      <w:numFmt w:val="decimal"/>
      <w:suff w:val="tab"/>
      <w:lvlText w:val="%7."/>
      <w:lvlJc w:val="left"/>
      <w:pPr>
        <w:ind w:left="5400" w:hanging="360"/>
      </w:pPr>
      <w:rPr>
        <w:rFonts w:cs="Times New Roman"/>
      </w:rPr>
    </w:lvl>
    <w:lvl w:ilvl="7">
      <w:start w:val="1"/>
      <w:numFmt w:val="lowerLetter"/>
      <w:suff w:val="tab"/>
      <w:lvlText w:val="%8."/>
      <w:lvlJc w:val="left"/>
      <w:pPr>
        <w:ind w:left="6120" w:hanging="360"/>
      </w:pPr>
      <w:rPr>
        <w:rFonts w:cs="Times New Roman"/>
      </w:rPr>
    </w:lvl>
    <w:lvl w:ilvl="8">
      <w:start w:val="1"/>
      <w:numFmt w:val="lowerRoman"/>
      <w:suff w:val="tab"/>
      <w:lvlText w:val="%9."/>
      <w:lvlJc w:val="right"/>
      <w:pPr>
        <w:ind w:left="6840" w:hanging="180"/>
      </w:pPr>
      <w:rPr>
        <w:rFonts w:cs="Times New Roman"/>
      </w:rPr>
    </w:lvl>
  </w:abstractNum>
  <w:abstractNum w:abstractNumId="6">
    <w:multiLevelType w:val="hybridMultilevel"/>
    <w:lvl w:ilvl="0">
      <w:start w:val="1"/>
      <w:numFmt w:val="bullet"/>
      <w:pStyle w:val="vpCalibri105ibullet"/>
      <w:suff w:val="tab"/>
      <w:lvlText w:val=""/>
      <w:lvlJc w:val="left"/>
      <w:pPr>
        <w:ind w:left="720" w:hanging="360"/>
      </w:pPr>
      <w:rPr>
        <w:rFonts w:ascii="Symbol" w:hAnsi="Symbol" w:hint="default"/>
      </w:rPr>
    </w:lvl>
    <w:lvl w:ilvl="1">
      <w:start w:val="1"/>
      <w:numFmt w:val="bullet"/>
      <w:suff w:val="tab"/>
      <w:lvlText w:val="o"/>
      <w:lvlJc w:val="left"/>
      <w:pPr>
        <w:ind w:left="1440" w:hanging="360"/>
      </w:pPr>
      <w:rPr>
        <w:rFonts w:ascii="Courier New" w:hAnsi="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hint="default"/>
      </w:rPr>
    </w:lvl>
    <w:lvl w:ilvl="8">
      <w:start w:val="1"/>
      <w:numFmt w:val="bullet"/>
      <w:suff w:val="tab"/>
      <w:lvlText w:val=""/>
      <w:lvlJc w:val="left"/>
      <w:pPr>
        <w:ind w:left="6480" w:hanging="360"/>
      </w:pPr>
      <w:rPr>
        <w:rFonts w:ascii="Wingdings" w:hAnsi="Wingdings" w:hint="default"/>
      </w:rPr>
    </w:lvl>
  </w:abstractNum>
  <w:abstractNum w:abstractNumId="7">
    <w:multiLevelType w:val="hybridMultilevel"/>
    <w:lvl w:ilvl="0">
      <w:start w:val="1"/>
      <w:numFmt w:val="decimal"/>
      <w:suff w:val="tab"/>
      <w:lvlText w:val="%1."/>
      <w:lvlJc w:val="left"/>
      <w:pPr>
        <w:ind w:left="1146" w:hanging="360"/>
      </w:pPr>
      <w:rPr>
        <w:rFonts w:cs="Times New Roman" w:hint="default"/>
      </w:rPr>
    </w:lvl>
    <w:lvl w:ilvl="1">
      <w:start w:val="1"/>
      <w:numFmt w:val="lowerLetter"/>
      <w:suff w:val="tab"/>
      <w:lvlText w:val="%2."/>
      <w:lvlJc w:val="left"/>
      <w:pPr>
        <w:ind w:left="1800" w:hanging="360"/>
      </w:pPr>
      <w:rPr>
        <w:rFonts w:cs="Times New Roman"/>
      </w:rPr>
    </w:lvl>
    <w:lvl w:ilvl="2">
      <w:start w:val="1"/>
      <w:numFmt w:val="lowerRoman"/>
      <w:suff w:val="tab"/>
      <w:lvlText w:val="%3."/>
      <w:lvlJc w:val="right"/>
      <w:pPr>
        <w:ind w:left="2520" w:hanging="180"/>
      </w:pPr>
      <w:rPr>
        <w:rFonts w:cs="Times New Roman"/>
      </w:rPr>
    </w:lvl>
    <w:lvl w:ilvl="3">
      <w:start w:val="1"/>
      <w:numFmt w:val="decimal"/>
      <w:suff w:val="tab"/>
      <w:lvlText w:val="%4."/>
      <w:lvlJc w:val="left"/>
      <w:pPr>
        <w:ind w:left="3240" w:hanging="360"/>
      </w:pPr>
      <w:rPr>
        <w:rFonts w:cs="Times New Roman"/>
      </w:rPr>
    </w:lvl>
    <w:lvl w:ilvl="4">
      <w:start w:val="1"/>
      <w:numFmt w:val="lowerLetter"/>
      <w:suff w:val="tab"/>
      <w:lvlText w:val="%5."/>
      <w:lvlJc w:val="left"/>
      <w:pPr>
        <w:ind w:left="3960" w:hanging="360"/>
      </w:pPr>
      <w:rPr>
        <w:rFonts w:cs="Times New Roman"/>
      </w:rPr>
    </w:lvl>
    <w:lvl w:ilvl="5">
      <w:start w:val="1"/>
      <w:numFmt w:val="lowerRoman"/>
      <w:suff w:val="tab"/>
      <w:lvlText w:val="%6."/>
      <w:lvlJc w:val="right"/>
      <w:pPr>
        <w:ind w:left="4680" w:hanging="180"/>
      </w:pPr>
      <w:rPr>
        <w:rFonts w:cs="Times New Roman"/>
      </w:rPr>
    </w:lvl>
    <w:lvl w:ilvl="6">
      <w:start w:val="1"/>
      <w:numFmt w:val="decimal"/>
      <w:suff w:val="tab"/>
      <w:lvlText w:val="%7."/>
      <w:lvlJc w:val="left"/>
      <w:pPr>
        <w:ind w:left="5400" w:hanging="360"/>
      </w:pPr>
      <w:rPr>
        <w:rFonts w:cs="Times New Roman"/>
      </w:rPr>
    </w:lvl>
    <w:lvl w:ilvl="7">
      <w:start w:val="1"/>
      <w:numFmt w:val="lowerLetter"/>
      <w:suff w:val="tab"/>
      <w:lvlText w:val="%8."/>
      <w:lvlJc w:val="left"/>
      <w:pPr>
        <w:ind w:left="6120" w:hanging="360"/>
      </w:pPr>
      <w:rPr>
        <w:rFonts w:cs="Times New Roman"/>
      </w:rPr>
    </w:lvl>
    <w:lvl w:ilvl="8">
      <w:start w:val="1"/>
      <w:numFmt w:val="lowerRoman"/>
      <w:suff w:val="tab"/>
      <w:lvlText w:val="%9."/>
      <w:lvlJc w:val="right"/>
      <w:pPr>
        <w:ind w:left="6840" w:hanging="180"/>
      </w:pPr>
      <w:rPr>
        <w:rFonts w:cs="Times New Roman"/>
      </w:rPr>
    </w:lvl>
  </w:abstractNum>
  <w:abstractNum w:abstractNumId="8">
    <w:multiLevelType w:val="hybridMultilevel"/>
    <w:lvl w:ilvl="0">
      <w:start w:val="1"/>
      <w:numFmt w:val="decimal"/>
      <w:suff w:val="tab"/>
      <w:lvlText w:val="%1."/>
      <w:lvlJc w:val="left"/>
      <w:pPr>
        <w:ind w:left="426" w:hanging="360"/>
      </w:pPr>
      <w:rPr/>
    </w:lvl>
    <w:lvl w:ilvl="1">
      <w:start w:val="1"/>
      <w:numFmt w:val="lowerLetter"/>
      <w:suff w:val="tab"/>
      <w:lvlText w:val="%2."/>
      <w:lvlJc w:val="left"/>
      <w:pPr>
        <w:ind w:left="1146" w:hanging="360"/>
      </w:pPr>
      <w:rPr/>
    </w:lvl>
    <w:lvl w:ilvl="2">
      <w:start w:val="1"/>
      <w:numFmt w:val="lowerRoman"/>
      <w:suff w:val="tab"/>
      <w:lvlText w:val="%3."/>
      <w:lvlJc w:val="right"/>
      <w:pPr>
        <w:ind w:left="1866" w:hanging="180"/>
      </w:pPr>
      <w:rPr/>
    </w:lvl>
    <w:lvl w:ilvl="3">
      <w:start w:val="1"/>
      <w:numFmt w:val="decimal"/>
      <w:suff w:val="tab"/>
      <w:lvlText w:val="%4."/>
      <w:lvlJc w:val="left"/>
      <w:pPr>
        <w:ind w:left="2586" w:hanging="360"/>
      </w:pPr>
      <w:rPr/>
    </w:lvl>
    <w:lvl w:ilvl="4">
      <w:start w:val="1"/>
      <w:numFmt w:val="lowerLetter"/>
      <w:suff w:val="tab"/>
      <w:lvlText w:val="%5."/>
      <w:lvlJc w:val="left"/>
      <w:pPr>
        <w:ind w:left="3306" w:hanging="360"/>
      </w:pPr>
      <w:rPr/>
    </w:lvl>
    <w:lvl w:ilvl="5">
      <w:start w:val="1"/>
      <w:numFmt w:val="lowerRoman"/>
      <w:suff w:val="tab"/>
      <w:lvlText w:val="%6."/>
      <w:lvlJc w:val="right"/>
      <w:pPr>
        <w:ind w:left="4026" w:hanging="180"/>
      </w:pPr>
      <w:rPr/>
    </w:lvl>
    <w:lvl w:ilvl="6">
      <w:start w:val="1"/>
      <w:numFmt w:val="decimal"/>
      <w:suff w:val="tab"/>
      <w:lvlText w:val="%7."/>
      <w:lvlJc w:val="left"/>
      <w:pPr>
        <w:ind w:left="4746" w:hanging="360"/>
      </w:pPr>
      <w:rPr/>
    </w:lvl>
    <w:lvl w:ilvl="7">
      <w:start w:val="1"/>
      <w:numFmt w:val="lowerLetter"/>
      <w:suff w:val="tab"/>
      <w:lvlText w:val="%8."/>
      <w:lvlJc w:val="left"/>
      <w:pPr>
        <w:ind w:left="5466" w:hanging="360"/>
      </w:pPr>
      <w:rPr/>
    </w:lvl>
    <w:lvl w:ilvl="8">
      <w:start w:val="1"/>
      <w:numFmt w:val="lowerRoman"/>
      <w:suff w:val="tab"/>
      <w:lvlText w:val="%9."/>
      <w:lvlJc w:val="right"/>
      <w:pPr>
        <w:ind w:left="6186" w:hanging="180"/>
      </w:pPr>
      <w:rPr/>
    </w:lvl>
  </w:abstractNum>
  <w:abstractNum w:abstractNumId="9">
    <w:multiLevelType w:val="hybridMultilevel"/>
    <w:lvl w:ilvl="0">
      <w:start w:val="1"/>
      <w:numFmt w:val="decimal"/>
      <w:suff w:val="tab"/>
      <w:lvlText w:val="%1."/>
      <w:lvlJc w:val="left"/>
      <w:pPr>
        <w:ind w:left="1506" w:hanging="360"/>
      </w:pPr>
      <w:rPr>
        <w:rFonts w:cs="Times New Roman" w:hint="default"/>
      </w:rPr>
    </w:lvl>
    <w:lvl w:ilvl="1">
      <w:start w:val="1"/>
      <w:numFmt w:val="lowerLetter"/>
      <w:suff w:val="tab"/>
      <w:lvlText w:val="%2."/>
      <w:lvlJc w:val="left"/>
      <w:pPr>
        <w:ind w:left="1800" w:hanging="360"/>
      </w:pPr>
      <w:rPr>
        <w:rFonts w:cs="Times New Roman"/>
      </w:rPr>
    </w:lvl>
    <w:lvl w:ilvl="2">
      <w:start w:val="1"/>
      <w:numFmt w:val="lowerRoman"/>
      <w:suff w:val="tab"/>
      <w:lvlText w:val="%3."/>
      <w:lvlJc w:val="right"/>
      <w:pPr>
        <w:ind w:left="2520" w:hanging="180"/>
      </w:pPr>
      <w:rPr>
        <w:rFonts w:cs="Times New Roman"/>
      </w:rPr>
    </w:lvl>
    <w:lvl w:ilvl="3">
      <w:start w:val="1"/>
      <w:numFmt w:val="decimal"/>
      <w:suff w:val="tab"/>
      <w:lvlText w:val="%4."/>
      <w:lvlJc w:val="left"/>
      <w:pPr>
        <w:ind w:left="3240" w:hanging="360"/>
      </w:pPr>
      <w:rPr>
        <w:rFonts w:cs="Times New Roman"/>
      </w:rPr>
    </w:lvl>
    <w:lvl w:ilvl="4">
      <w:start w:val="1"/>
      <w:numFmt w:val="lowerLetter"/>
      <w:suff w:val="tab"/>
      <w:lvlText w:val="%5."/>
      <w:lvlJc w:val="left"/>
      <w:pPr>
        <w:ind w:left="3960" w:hanging="360"/>
      </w:pPr>
      <w:rPr>
        <w:rFonts w:cs="Times New Roman"/>
      </w:rPr>
    </w:lvl>
    <w:lvl w:ilvl="5">
      <w:start w:val="1"/>
      <w:numFmt w:val="lowerRoman"/>
      <w:suff w:val="tab"/>
      <w:lvlText w:val="%6."/>
      <w:lvlJc w:val="right"/>
      <w:pPr>
        <w:ind w:left="4680" w:hanging="180"/>
      </w:pPr>
      <w:rPr>
        <w:rFonts w:cs="Times New Roman"/>
      </w:rPr>
    </w:lvl>
    <w:lvl w:ilvl="6">
      <w:start w:val="1"/>
      <w:numFmt w:val="decimal"/>
      <w:suff w:val="tab"/>
      <w:lvlText w:val="%7."/>
      <w:lvlJc w:val="left"/>
      <w:pPr>
        <w:ind w:left="5400" w:hanging="360"/>
      </w:pPr>
      <w:rPr>
        <w:rFonts w:cs="Times New Roman"/>
      </w:rPr>
    </w:lvl>
    <w:lvl w:ilvl="7">
      <w:start w:val="1"/>
      <w:numFmt w:val="lowerLetter"/>
      <w:suff w:val="tab"/>
      <w:lvlText w:val="%8."/>
      <w:lvlJc w:val="left"/>
      <w:pPr>
        <w:ind w:left="6120" w:hanging="360"/>
      </w:pPr>
      <w:rPr>
        <w:rFonts w:cs="Times New Roman"/>
      </w:rPr>
    </w:lvl>
    <w:lvl w:ilvl="8">
      <w:start w:val="1"/>
      <w:numFmt w:val="lowerRoman"/>
      <w:suff w:val="tab"/>
      <w:lvlText w:val="%9."/>
      <w:lvlJc w:val="right"/>
      <w:pPr>
        <w:ind w:left="6840" w:hanging="180"/>
      </w:pPr>
      <w:rPr>
        <w:rFonts w:cs="Times New Roman"/>
      </w:rPr>
    </w:lvl>
  </w:abstractNum>
  <w:abstractNum w:abstractNumId="10">
    <w:multiLevelType w:val="hybridMultilevel"/>
    <w:lvl w:ilvl="0">
      <w:start w:val="1"/>
      <w:numFmt w:val="decimal"/>
      <w:suff w:val="tab"/>
      <w:lvlText w:val="%1."/>
      <w:lvlJc w:val="left"/>
      <w:pPr>
        <w:ind w:left="1146" w:hanging="360"/>
      </w:pPr>
      <w:rPr>
        <w:rFonts w:cs="Times New Roman" w:hint="default"/>
      </w:rPr>
    </w:lvl>
    <w:lvl w:ilvl="1">
      <w:start w:val="1"/>
      <w:numFmt w:val="lowerLetter"/>
      <w:suff w:val="tab"/>
      <w:lvlText w:val="%2."/>
      <w:lvlJc w:val="left"/>
      <w:pPr>
        <w:ind w:left="1800" w:hanging="360"/>
      </w:pPr>
      <w:rPr>
        <w:rFonts w:cs="Times New Roman"/>
      </w:rPr>
    </w:lvl>
    <w:lvl w:ilvl="2">
      <w:start w:val="1"/>
      <w:numFmt w:val="lowerRoman"/>
      <w:suff w:val="tab"/>
      <w:lvlText w:val="%3."/>
      <w:lvlJc w:val="right"/>
      <w:pPr>
        <w:ind w:left="2520" w:hanging="180"/>
      </w:pPr>
      <w:rPr>
        <w:rFonts w:cs="Times New Roman"/>
      </w:rPr>
    </w:lvl>
    <w:lvl w:ilvl="3">
      <w:start w:val="1"/>
      <w:numFmt w:val="decimal"/>
      <w:suff w:val="tab"/>
      <w:lvlText w:val="%4."/>
      <w:lvlJc w:val="left"/>
      <w:pPr>
        <w:ind w:left="3240" w:hanging="360"/>
      </w:pPr>
      <w:rPr>
        <w:rFonts w:cs="Times New Roman"/>
      </w:rPr>
    </w:lvl>
    <w:lvl w:ilvl="4">
      <w:start w:val="1"/>
      <w:numFmt w:val="lowerLetter"/>
      <w:suff w:val="tab"/>
      <w:lvlText w:val="%5."/>
      <w:lvlJc w:val="left"/>
      <w:pPr>
        <w:ind w:left="3960" w:hanging="360"/>
      </w:pPr>
      <w:rPr>
        <w:rFonts w:cs="Times New Roman"/>
      </w:rPr>
    </w:lvl>
    <w:lvl w:ilvl="5">
      <w:start w:val="1"/>
      <w:numFmt w:val="lowerRoman"/>
      <w:suff w:val="tab"/>
      <w:lvlText w:val="%6."/>
      <w:lvlJc w:val="right"/>
      <w:pPr>
        <w:ind w:left="4680" w:hanging="180"/>
      </w:pPr>
      <w:rPr>
        <w:rFonts w:cs="Times New Roman"/>
      </w:rPr>
    </w:lvl>
    <w:lvl w:ilvl="6">
      <w:start w:val="1"/>
      <w:numFmt w:val="decimal"/>
      <w:suff w:val="tab"/>
      <w:lvlText w:val="%7."/>
      <w:lvlJc w:val="left"/>
      <w:pPr>
        <w:ind w:left="5400" w:hanging="360"/>
      </w:pPr>
      <w:rPr>
        <w:rFonts w:cs="Times New Roman"/>
      </w:rPr>
    </w:lvl>
    <w:lvl w:ilvl="7">
      <w:start w:val="1"/>
      <w:numFmt w:val="lowerLetter"/>
      <w:suff w:val="tab"/>
      <w:lvlText w:val="%8."/>
      <w:lvlJc w:val="left"/>
      <w:pPr>
        <w:ind w:left="6120" w:hanging="360"/>
      </w:pPr>
      <w:rPr>
        <w:rFonts w:cs="Times New Roman"/>
      </w:rPr>
    </w:lvl>
    <w:lvl w:ilvl="8">
      <w:start w:val="1"/>
      <w:numFmt w:val="lowerRoman"/>
      <w:suff w:val="tab"/>
      <w:lvlText w:val="%9."/>
      <w:lvlJc w:val="right"/>
      <w:pPr>
        <w:ind w:left="6840" w:hanging="180"/>
      </w:pPr>
      <w:rPr>
        <w:rFonts w:cs="Times New Roman"/>
      </w:rPr>
    </w:lvl>
  </w:abstractNum>
  <w:abstractNum w:abstractNumId="11">
    <w:multiLevelType w:val="hybridMultilevel"/>
    <w:lvl w:ilvl="0">
      <w:start w:val="1"/>
      <w:numFmt w:val="decimal"/>
      <w:suff w:val="tab"/>
      <w:lvlText w:val="%1."/>
      <w:lvlJc w:val="left"/>
      <w:pPr>
        <w:ind w:left="426" w:hanging="360"/>
      </w:pPr>
      <w:rPr/>
    </w:lvl>
    <w:lvl w:ilvl="1">
      <w:start w:val="1"/>
      <w:numFmt w:val="lowerLetter"/>
      <w:suff w:val="tab"/>
      <w:lvlText w:val="%2."/>
      <w:lvlJc w:val="left"/>
      <w:pPr>
        <w:ind w:left="1146" w:hanging="360"/>
      </w:pPr>
      <w:rPr/>
    </w:lvl>
    <w:lvl w:ilvl="2">
      <w:start w:val="1"/>
      <w:numFmt w:val="lowerRoman"/>
      <w:suff w:val="tab"/>
      <w:lvlText w:val="%3."/>
      <w:lvlJc w:val="right"/>
      <w:pPr>
        <w:ind w:left="1866" w:hanging="180"/>
      </w:pPr>
      <w:rPr/>
    </w:lvl>
    <w:lvl w:ilvl="3">
      <w:start w:val="1"/>
      <w:numFmt w:val="decimal"/>
      <w:suff w:val="tab"/>
      <w:lvlText w:val="%4."/>
      <w:lvlJc w:val="left"/>
      <w:pPr>
        <w:ind w:left="2586" w:hanging="360"/>
      </w:pPr>
      <w:rPr/>
    </w:lvl>
    <w:lvl w:ilvl="4">
      <w:start w:val="1"/>
      <w:numFmt w:val="lowerLetter"/>
      <w:suff w:val="tab"/>
      <w:lvlText w:val="%5."/>
      <w:lvlJc w:val="left"/>
      <w:pPr>
        <w:ind w:left="3306" w:hanging="360"/>
      </w:pPr>
      <w:rPr/>
    </w:lvl>
    <w:lvl w:ilvl="5">
      <w:start w:val="1"/>
      <w:numFmt w:val="lowerRoman"/>
      <w:suff w:val="tab"/>
      <w:lvlText w:val="%6."/>
      <w:lvlJc w:val="right"/>
      <w:pPr>
        <w:ind w:left="4026" w:hanging="180"/>
      </w:pPr>
      <w:rPr/>
    </w:lvl>
    <w:lvl w:ilvl="6">
      <w:start w:val="1"/>
      <w:numFmt w:val="decimal"/>
      <w:suff w:val="tab"/>
      <w:lvlText w:val="%7."/>
      <w:lvlJc w:val="left"/>
      <w:pPr>
        <w:ind w:left="4746" w:hanging="360"/>
      </w:pPr>
      <w:rPr/>
    </w:lvl>
    <w:lvl w:ilvl="7">
      <w:start w:val="1"/>
      <w:numFmt w:val="lowerLetter"/>
      <w:suff w:val="tab"/>
      <w:lvlText w:val="%8."/>
      <w:lvlJc w:val="left"/>
      <w:pPr>
        <w:ind w:left="5466" w:hanging="360"/>
      </w:pPr>
      <w:rPr/>
    </w:lvl>
    <w:lvl w:ilvl="8">
      <w:start w:val="1"/>
      <w:numFmt w:val="lowerRoman"/>
      <w:suff w:val="tab"/>
      <w:lvlText w:val="%9."/>
      <w:lvlJc w:val="right"/>
      <w:pPr>
        <w:ind w:left="6186" w:hanging="180"/>
      </w:pPr>
      <w:rPr/>
    </w:lvl>
  </w:abstractNum>
  <w:abstractNum w:abstractNumId="12">
    <w:multiLevelType w:val="hybridMultilevel"/>
    <w:lvl w:ilvl="0">
      <w:start w:val="1"/>
      <w:numFmt w:val="decimal"/>
      <w:suff w:val="tab"/>
      <w:lvlText w:val="%1."/>
      <w:lvlJc w:val="left"/>
      <w:pPr>
        <w:ind w:left="1146" w:hanging="360"/>
      </w:pPr>
      <w:rPr>
        <w:rFonts w:cs="Times New Roman" w:hint="default"/>
      </w:rPr>
    </w:lvl>
    <w:lvl w:ilvl="1">
      <w:start w:val="1"/>
      <w:numFmt w:val="lowerLetter"/>
      <w:suff w:val="tab"/>
      <w:lvlText w:val="%2."/>
      <w:lvlJc w:val="left"/>
      <w:pPr>
        <w:ind w:left="1800" w:hanging="360"/>
      </w:pPr>
      <w:rPr>
        <w:rFonts w:cs="Times New Roman"/>
      </w:rPr>
    </w:lvl>
    <w:lvl w:ilvl="2">
      <w:start w:val="1"/>
      <w:numFmt w:val="lowerRoman"/>
      <w:suff w:val="tab"/>
      <w:lvlText w:val="%3."/>
      <w:lvlJc w:val="right"/>
      <w:pPr>
        <w:ind w:left="2520" w:hanging="180"/>
      </w:pPr>
      <w:rPr>
        <w:rFonts w:cs="Times New Roman"/>
      </w:rPr>
    </w:lvl>
    <w:lvl w:ilvl="3">
      <w:start w:val="1"/>
      <w:numFmt w:val="decimal"/>
      <w:suff w:val="tab"/>
      <w:lvlText w:val="%4."/>
      <w:lvlJc w:val="left"/>
      <w:pPr>
        <w:ind w:left="3240" w:hanging="360"/>
      </w:pPr>
      <w:rPr>
        <w:rFonts w:cs="Times New Roman"/>
      </w:rPr>
    </w:lvl>
    <w:lvl w:ilvl="4">
      <w:start w:val="1"/>
      <w:numFmt w:val="lowerLetter"/>
      <w:suff w:val="tab"/>
      <w:lvlText w:val="%5."/>
      <w:lvlJc w:val="left"/>
      <w:pPr>
        <w:ind w:left="3960" w:hanging="360"/>
      </w:pPr>
      <w:rPr>
        <w:rFonts w:cs="Times New Roman"/>
      </w:rPr>
    </w:lvl>
    <w:lvl w:ilvl="5">
      <w:start w:val="1"/>
      <w:numFmt w:val="lowerRoman"/>
      <w:suff w:val="tab"/>
      <w:lvlText w:val="%6."/>
      <w:lvlJc w:val="right"/>
      <w:pPr>
        <w:ind w:left="4680" w:hanging="180"/>
      </w:pPr>
      <w:rPr>
        <w:rFonts w:cs="Times New Roman"/>
      </w:rPr>
    </w:lvl>
    <w:lvl w:ilvl="6">
      <w:start w:val="1"/>
      <w:numFmt w:val="decimal"/>
      <w:suff w:val="tab"/>
      <w:lvlText w:val="%7."/>
      <w:lvlJc w:val="left"/>
      <w:pPr>
        <w:ind w:left="5400" w:hanging="360"/>
      </w:pPr>
      <w:rPr>
        <w:rFonts w:cs="Times New Roman"/>
      </w:rPr>
    </w:lvl>
    <w:lvl w:ilvl="7">
      <w:start w:val="1"/>
      <w:numFmt w:val="lowerLetter"/>
      <w:suff w:val="tab"/>
      <w:lvlText w:val="%8."/>
      <w:lvlJc w:val="left"/>
      <w:pPr>
        <w:ind w:left="6120" w:hanging="360"/>
      </w:pPr>
      <w:rPr>
        <w:rFonts w:cs="Times New Roman"/>
      </w:rPr>
    </w:lvl>
    <w:lvl w:ilvl="8">
      <w:start w:val="1"/>
      <w:numFmt w:val="lowerRoman"/>
      <w:suff w:val="tab"/>
      <w:lvlText w:val="%9."/>
      <w:lvlJc w:val="right"/>
      <w:pPr>
        <w:ind w:left="6840" w:hanging="180"/>
      </w:pPr>
      <w:rPr>
        <w:rFonts w:cs="Times New Roman"/>
      </w:rPr>
    </w:lvl>
  </w:abstractNum>
  <w:abstractNum w:abstractNumId="13">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proofState w:spelling="clean" w:grammar="clean"/>
  <w:doNotTrackMoves/>
  <w:defaultTabStop w:val="708"/>
  <w:hyphenationZone w:val="425"/>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cs-CZ"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E53"/>
    <w:pPr>
      <w:spacing w:after="0" w:line="280" w:lineRule="atLeast"/>
    </w:pPr>
    <w:rPr>
      <w:rFonts w:ascii="Times New Roman" w:eastAsia="Times New Roman" w:hAnsi="Times New Roman" w:cs="Times New Roman"/>
      <w:sz w:val="24"/>
      <w:szCs w:val="20"/>
      <w:lang w:eastAsia="de-DE"/>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Title">
    <w:name w:val="Title"/>
    <w:basedOn w:val="Normal"/>
    <w:link w:val="NázevChar"/>
    <w:uiPriority w:val="10"/>
    <w:qFormat/>
    <w:rsid w:val="003B1E53"/>
    <w:pPr>
      <w:spacing w:line="240" w:lineRule="auto"/>
      <w:jc w:val="center"/>
    </w:pPr>
    <w:rPr>
      <w:sz w:val="40"/>
      <w:lang w:eastAsia="cs-CZ"/>
    </w:rPr>
  </w:style>
  <w:style w:type="character" w:customStyle="1" w:styleId="NázevChar">
    <w:name w:val="Název Char"/>
    <w:basedOn w:val="DefaultParagraphFont"/>
    <w:link w:val="Title"/>
    <w:uiPriority w:val="10"/>
    <w:rsid w:val="003B1E53"/>
    <w:rPr>
      <w:rFonts w:ascii="Times New Roman" w:eastAsia="Times New Roman" w:hAnsi="Times New Roman" w:cs="Times New Roman"/>
      <w:sz w:val="40"/>
      <w:szCs w:val="20"/>
      <w:lang w:eastAsia="cs-CZ"/>
    </w:rPr>
  </w:style>
  <w:style w:type="paragraph" w:styleId="BodyText">
    <w:name w:val="Body Text"/>
    <w:basedOn w:val="Normal"/>
    <w:link w:val="ZákladnítextChar"/>
    <w:uiPriority w:val="99"/>
    <w:rsid w:val="003B1E53"/>
    <w:pPr>
      <w:spacing w:line="240" w:lineRule="auto"/>
      <w:jc w:val="both"/>
    </w:pPr>
    <w:rPr>
      <w:lang w:eastAsia="cs-CZ"/>
    </w:rPr>
  </w:style>
  <w:style w:type="character" w:customStyle="1" w:styleId="ZákladnítextChar">
    <w:name w:val="Základní text Char"/>
    <w:basedOn w:val="DefaultParagraphFont"/>
    <w:link w:val="BodyText"/>
    <w:uiPriority w:val="99"/>
    <w:rsid w:val="003B1E53"/>
    <w:rPr>
      <w:rFonts w:ascii="Times New Roman" w:eastAsia="Times New Roman" w:hAnsi="Times New Roman" w:cs="Times New Roman"/>
      <w:sz w:val="24"/>
      <w:szCs w:val="20"/>
      <w:lang w:eastAsia="cs-CZ"/>
    </w:rPr>
  </w:style>
  <w:style w:type="paragraph" w:styleId="BodyTextIndent3">
    <w:name w:val="Body Text Indent 3"/>
    <w:basedOn w:val="Normal"/>
    <w:link w:val="Základnítextodsazený3Char"/>
    <w:uiPriority w:val="99"/>
    <w:rsid w:val="003B1E53"/>
    <w:pPr>
      <w:tabs>
        <w:tab w:val="left" w:pos="426"/>
      </w:tabs>
      <w:spacing w:before="120" w:line="240" w:lineRule="auto"/>
      <w:ind w:left="426"/>
      <w:jc w:val="both"/>
    </w:pPr>
    <w:rPr>
      <w:color w:val="FF0000"/>
      <w:lang w:eastAsia="cs-CZ"/>
    </w:rPr>
  </w:style>
  <w:style w:type="character" w:customStyle="1" w:styleId="Základnítextodsazený3Char">
    <w:name w:val="Základní text odsazený 3 Char"/>
    <w:basedOn w:val="DefaultParagraphFont"/>
    <w:link w:val="BodyTextIndent3"/>
    <w:uiPriority w:val="99"/>
    <w:rsid w:val="003B1E53"/>
    <w:rPr>
      <w:rFonts w:ascii="Times New Roman" w:eastAsia="Times New Roman" w:hAnsi="Times New Roman" w:cs="Times New Roman"/>
      <w:color w:val="FF0000"/>
      <w:sz w:val="24"/>
      <w:szCs w:val="20"/>
      <w:lang w:eastAsia="cs-CZ"/>
    </w:rPr>
  </w:style>
  <w:style w:type="paragraph" w:styleId="BodyText2">
    <w:name w:val="Body Text 2"/>
    <w:basedOn w:val="Normal"/>
    <w:link w:val="Základnítext2Char"/>
    <w:uiPriority w:val="99"/>
    <w:rsid w:val="003B1E53"/>
    <w:pPr>
      <w:tabs>
        <w:tab w:val="left" w:pos="2552"/>
      </w:tabs>
      <w:spacing w:line="240" w:lineRule="auto"/>
      <w:ind w:left="567"/>
      <w:jc w:val="both"/>
    </w:pPr>
    <w:rPr>
      <w:rFonts w:ascii="Tahoma" w:hAnsi="Tahoma"/>
      <w:sz w:val="22"/>
      <w:lang w:eastAsia="cs-CZ"/>
    </w:rPr>
  </w:style>
  <w:style w:type="character" w:customStyle="1" w:styleId="Základnítext2Char">
    <w:name w:val="Základní text 2 Char"/>
    <w:basedOn w:val="DefaultParagraphFont"/>
    <w:link w:val="BodyText2"/>
    <w:uiPriority w:val="99"/>
    <w:rsid w:val="003B1E53"/>
    <w:rPr>
      <w:rFonts w:ascii="Tahoma" w:eastAsia="Times New Roman" w:hAnsi="Tahoma" w:cs="Times New Roman"/>
      <w:szCs w:val="20"/>
      <w:lang w:eastAsia="cs-CZ"/>
    </w:rPr>
  </w:style>
  <w:style w:type="paragraph" w:customStyle="1" w:styleId="EONKommentar">
    <w:name w:val="EONKommentar"/>
    <w:basedOn w:val="Normal"/>
    <w:rsid w:val="003B1E53"/>
    <w:pPr>
      <w:spacing w:line="240" w:lineRule="auto"/>
    </w:pPr>
    <w:rPr>
      <w:vanish/>
      <w:color w:val="FF0000"/>
      <w:sz w:val="18"/>
    </w:rPr>
  </w:style>
  <w:style w:type="paragraph" w:styleId="Header">
    <w:name w:val="Header"/>
    <w:basedOn w:val="Normal"/>
    <w:link w:val="ZáhlavíChar"/>
    <w:uiPriority w:val="99"/>
    <w:rsid w:val="003B1E53"/>
    <w:pPr>
      <w:tabs>
        <w:tab w:val="center" w:pos="4536"/>
        <w:tab w:val="right" w:pos="9072"/>
      </w:tabs>
    </w:pPr>
    <w:rPr/>
  </w:style>
  <w:style w:type="character" w:customStyle="1" w:styleId="ZáhlavíChar">
    <w:name w:val="Záhlaví Char"/>
    <w:basedOn w:val="DefaultParagraphFont"/>
    <w:link w:val="Header"/>
    <w:uiPriority w:val="99"/>
    <w:rsid w:val="003B1E53"/>
    <w:rPr>
      <w:rFonts w:ascii="Times New Roman" w:eastAsia="Times New Roman" w:hAnsi="Times New Roman" w:cs="Times New Roman"/>
      <w:sz w:val="24"/>
      <w:szCs w:val="20"/>
      <w:lang w:eastAsia="de-DE"/>
    </w:rPr>
  </w:style>
  <w:style w:type="paragraph" w:styleId="Footer">
    <w:name w:val="Footer"/>
    <w:basedOn w:val="Normal"/>
    <w:link w:val="ZápatíChar"/>
    <w:uiPriority w:val="99"/>
    <w:rsid w:val="003B1E53"/>
    <w:pPr>
      <w:tabs>
        <w:tab w:val="center" w:pos="4536"/>
        <w:tab w:val="right" w:pos="9072"/>
      </w:tabs>
    </w:pPr>
    <w:rPr/>
  </w:style>
  <w:style w:type="character" w:customStyle="1" w:styleId="ZápatíChar">
    <w:name w:val="Zápatí Char"/>
    <w:basedOn w:val="DefaultParagraphFont"/>
    <w:link w:val="Footer"/>
    <w:uiPriority w:val="99"/>
    <w:rsid w:val="003B1E53"/>
    <w:rPr>
      <w:rFonts w:ascii="Times New Roman" w:eastAsia="Times New Roman" w:hAnsi="Times New Roman" w:cs="Times New Roman"/>
      <w:sz w:val="24"/>
      <w:szCs w:val="20"/>
      <w:lang w:eastAsia="de-DE"/>
    </w:rPr>
  </w:style>
  <w:style w:type="character" w:styleId="PageNumber">
    <w:name w:val="Page Number"/>
    <w:basedOn w:val="DefaultParagraphFont"/>
    <w:uiPriority w:val="99"/>
    <w:rsid w:val="003B1E53"/>
    <w:rPr>
      <w:rFonts w:cs="Times New Roman"/>
    </w:rPr>
  </w:style>
  <w:style w:type="paragraph" w:styleId="ListParagraph">
    <w:name w:val="List Paragraph"/>
    <w:basedOn w:val="Normal"/>
    <w:uiPriority w:val="34"/>
    <w:qFormat/>
    <w:rsid w:val="003B1E53"/>
    <w:pPr>
      <w:spacing w:line="240" w:lineRule="auto"/>
      <w:ind w:left="720"/>
      <w:contextualSpacing/>
    </w:pPr>
    <w:rPr>
      <w:rFonts w:ascii="Calibri" w:hAnsi="Calibri" w:asciiTheme="minorHAnsi" w:hAnsiTheme="minorHAnsi"/>
      <w:szCs w:val="24"/>
      <w:lang w:eastAsia="en-US"/>
    </w:rPr>
  </w:style>
  <w:style w:type="paragraph" w:styleId="NoSpacing">
    <w:name w:val="No Spacing"/>
    <w:uiPriority w:val="1"/>
    <w:qFormat/>
    <w:rsid w:val="003B1E53"/>
    <w:pPr>
      <w:spacing w:after="0" w:line="240" w:lineRule="auto"/>
    </w:pPr>
    <w:rPr>
      <w:rFonts w:ascii="Times New Roman" w:eastAsia="Times New Roman" w:hAnsi="Times New Roman" w:cs="Times New Roman"/>
      <w:sz w:val="24"/>
      <w:szCs w:val="20"/>
      <w:lang w:eastAsia="de-DE"/>
    </w:rPr>
  </w:style>
  <w:style w:type="paragraph" w:styleId="Quote">
    <w:name w:val="Quote"/>
    <w:basedOn w:val="Normal"/>
    <w:next w:val="Normal"/>
    <w:link w:val="CitátChar"/>
    <w:uiPriority w:val="29"/>
    <w:qFormat/>
    <w:rsid w:val="003B1E53"/>
    <w:pPr>
      <w:spacing w:before="200" w:after="160"/>
      <w:ind w:left="864" w:right="864"/>
      <w:jc w:val="center"/>
    </w:pPr>
    <w:rPr>
      <w:i/>
      <w:iCs/>
      <w:color w:val="404040" w:themeColor="text1" w:themeTint="BF"/>
    </w:rPr>
  </w:style>
  <w:style w:type="character" w:customStyle="1" w:styleId="CitátChar">
    <w:name w:val="Citát Char"/>
    <w:basedOn w:val="DefaultParagraphFont"/>
    <w:link w:val="Quote"/>
    <w:uiPriority w:val="29"/>
    <w:rsid w:val="003B1E53"/>
    <w:rPr>
      <w:rFonts w:ascii="Times New Roman" w:eastAsia="Times New Roman" w:hAnsi="Times New Roman" w:cs="Times New Roman"/>
      <w:i/>
      <w:iCs/>
      <w:color w:val="404040" w:themeColor="text1" w:themeTint="BF"/>
      <w:sz w:val="24"/>
      <w:szCs w:val="20"/>
      <w:lang w:eastAsia="de-DE"/>
    </w:rPr>
  </w:style>
  <w:style w:type="table" w:styleId="TableGrid">
    <w:name w:val="Table Grid"/>
    <w:basedOn w:val="NormalTable"/>
    <w:uiPriority w:val="59"/>
    <w:rsid w:val="003B1E53"/>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bublinyChar"/>
    <w:uiPriority w:val="99"/>
    <w:semiHidden/>
    <w:unhideWhenUsed/>
    <w:rsid w:val="00A50730"/>
    <w:pPr>
      <w:spacing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A50730"/>
    <w:rPr>
      <w:rFonts w:ascii="Segoe UI" w:eastAsia="Times New Roman" w:hAnsi="Segoe UI" w:cs="Segoe UI"/>
      <w:sz w:val="18"/>
      <w:szCs w:val="18"/>
      <w:lang w:eastAsia="de-DE"/>
    </w:rPr>
  </w:style>
  <w:style w:type="character" w:styleId="CommentReference">
    <w:name w:val="Comment Reference"/>
    <w:basedOn w:val="DefaultParagraphFont"/>
    <w:uiPriority w:val="99"/>
    <w:semiHidden/>
    <w:unhideWhenUsed/>
    <w:rsid w:val="003B6B08"/>
    <w:rPr>
      <w:sz w:val="16"/>
      <w:szCs w:val="16"/>
    </w:rPr>
  </w:style>
  <w:style w:type="paragraph" w:styleId="CommentText">
    <w:name w:val="Comment Text"/>
    <w:basedOn w:val="Normal"/>
    <w:link w:val="TextkomentářeChar"/>
    <w:uiPriority w:val="99"/>
    <w:semiHidden/>
    <w:unhideWhenUsed/>
    <w:rsid w:val="003B6B08"/>
    <w:pPr>
      <w:spacing w:line="240" w:lineRule="auto"/>
    </w:pPr>
    <w:rPr>
      <w:sz w:val="20"/>
    </w:rPr>
  </w:style>
  <w:style w:type="character" w:customStyle="1" w:styleId="TextkomentářeChar">
    <w:name w:val="Text komentáře Char"/>
    <w:basedOn w:val="DefaultParagraphFont"/>
    <w:link w:val="CommentText"/>
    <w:uiPriority w:val="99"/>
    <w:semiHidden/>
    <w:rsid w:val="003B6B08"/>
    <w:rPr>
      <w:rFonts w:ascii="Times New Roman" w:eastAsia="Times New Roman" w:hAnsi="Times New Roman" w:cs="Times New Roman"/>
      <w:sz w:val="20"/>
      <w:szCs w:val="20"/>
      <w:lang w:eastAsia="de-DE"/>
    </w:rPr>
  </w:style>
  <w:style w:type="paragraph" w:styleId="CommentSubject">
    <w:name w:val="Comment Subject"/>
    <w:basedOn w:val="CommentText"/>
    <w:next w:val="CommentText"/>
    <w:link w:val="PředmětkomentářeChar"/>
    <w:uiPriority w:val="99"/>
    <w:semiHidden/>
    <w:unhideWhenUsed/>
    <w:rsid w:val="003B6B08"/>
    <w:rPr>
      <w:b/>
      <w:bCs/>
    </w:rPr>
  </w:style>
  <w:style w:type="character" w:customStyle="1" w:styleId="PředmětkomentářeChar">
    <w:name w:val="Předmět komentáře Char"/>
    <w:basedOn w:val="TextkomentářeChar"/>
    <w:link w:val="CommentSubject"/>
    <w:uiPriority w:val="99"/>
    <w:semiHidden/>
    <w:rsid w:val="003B6B08"/>
    <w:rPr>
      <w:rFonts w:ascii="Times New Roman" w:eastAsia="Times New Roman" w:hAnsi="Times New Roman" w:cs="Times New Roman"/>
      <w:b/>
      <w:bCs/>
      <w:sz w:val="20"/>
      <w:szCs w:val="20"/>
      <w:lang w:eastAsia="de-DE"/>
    </w:rPr>
  </w:style>
  <w:style w:type="paragraph" w:customStyle="1" w:styleId="p_Hlavicka">
    <w:name w:val="p_Hlavicka"/>
    <w:basedOn w:val="Title"/>
    <w:link w:val="p_HlavickaChar"/>
    <w:qFormat/>
    <w:rsid w:val="00400050"/>
    <w:pPr>
      <w:tabs>
        <w:tab w:val="right" w:pos="9781"/>
      </w:tabs>
      <w:jc w:val="left"/>
    </w:pPr>
    <w:rPr>
      <w:rFonts w:ascii="Calibri" w:hAnsi="Calibri" w:asciiTheme="minorHAnsi" w:hAnsiTheme="minorHAnsi" w:cs="Calibri"/>
      <w:b/>
      <w:i/>
      <w:caps/>
      <w:sz w:val="36"/>
      <w:szCs w:val="36"/>
    </w:rPr>
  </w:style>
  <w:style w:type="paragraph" w:customStyle="1" w:styleId="p_PodHlavicka">
    <w:name w:val="p_PodHlavicka"/>
    <w:basedOn w:val="Title"/>
    <w:link w:val="p_PodHlavickaChar"/>
    <w:qFormat/>
    <w:rsid w:val="00400050"/>
    <w:pPr>
      <w:tabs>
        <w:tab w:val="right" w:pos="9781"/>
      </w:tabs>
      <w:jc w:val="left"/>
    </w:pPr>
    <w:rPr>
      <w:rFonts w:ascii="Calibri" w:hAnsi="Calibri" w:asciiTheme="minorHAnsi" w:hAnsiTheme="minorHAnsi" w:cs="Calibri"/>
      <w:b/>
      <w:bCs/>
      <w:i/>
      <w:sz w:val="28"/>
      <w:szCs w:val="28"/>
    </w:rPr>
  </w:style>
  <w:style w:type="character" w:customStyle="1" w:styleId="p_HlavickaChar">
    <w:name w:val="p_Hlavicka Char"/>
    <w:basedOn w:val="NázevChar"/>
    <w:link w:val="p_Hlavicka"/>
    <w:rsid w:val="00400050"/>
    <w:rPr>
      <w:rFonts w:ascii="Times New Roman" w:eastAsia="Times New Roman" w:hAnsi="Times New Roman" w:cs="Calibri"/>
      <w:b/>
      <w:i/>
      <w:caps/>
      <w:sz w:val="36"/>
      <w:szCs w:val="36"/>
      <w:lang w:eastAsia="cs-CZ"/>
    </w:rPr>
  </w:style>
  <w:style w:type="paragraph" w:customStyle="1" w:styleId="p_Maly_text">
    <w:name w:val="p_Maly_text"/>
    <w:basedOn w:val="BodyText2"/>
    <w:link w:val="p_Maly_textChar"/>
    <w:qFormat/>
    <w:rsid w:val="00400050"/>
    <w:pPr>
      <w:pBdr>
        <w:bottom w:val="single" w:sz="6" w:space="1" w:color="auto"/>
      </w:pBdr>
      <w:tabs>
        <w:tab w:val="clear" w:pos="2552"/>
      </w:tabs>
      <w:ind w:left="0"/>
    </w:pPr>
    <w:rPr>
      <w:rFonts w:ascii="Calibri" w:hAnsi="Calibri" w:asciiTheme="minorHAnsi" w:hAnsiTheme="minorHAnsi" w:cs="Arial" w:cstheme="minorHAnsi"/>
      <w:i/>
      <w:iCs/>
      <w:sz w:val="18"/>
      <w:szCs w:val="18"/>
    </w:rPr>
  </w:style>
  <w:style w:type="character" w:customStyle="1" w:styleId="p_PodHlavickaChar">
    <w:name w:val="p_PodHlavicka Char"/>
    <w:basedOn w:val="NázevChar"/>
    <w:link w:val="p_PodHlavicka"/>
    <w:rsid w:val="00400050"/>
    <w:rPr>
      <w:rFonts w:ascii="Times New Roman" w:eastAsia="Times New Roman" w:hAnsi="Times New Roman" w:cs="Calibri"/>
      <w:b/>
      <w:bCs/>
      <w:i/>
      <w:sz w:val="28"/>
      <w:szCs w:val="28"/>
      <w:lang w:eastAsia="cs-CZ"/>
    </w:rPr>
  </w:style>
  <w:style w:type="paragraph" w:customStyle="1" w:styleId="p_Text">
    <w:name w:val="p_Text"/>
    <w:basedOn w:val="Normal"/>
    <w:link w:val="p_TextChar"/>
    <w:qFormat/>
    <w:rsid w:val="00400050"/>
    <w:pPr>
      <w:shd w:val="clear" w:color="auto" w:fill="FFFFFF"/>
      <w:tabs>
        <w:tab w:val="left" w:pos="426"/>
        <w:tab w:val="left" w:pos="2268"/>
      </w:tabs>
      <w:ind w:left="-284"/>
    </w:pPr>
    <w:rPr>
      <w:rFonts w:ascii="Calibri" w:hAnsi="Calibri" w:asciiTheme="minorHAnsi" w:hAnsiTheme="minorHAnsi" w:cs="Calibri"/>
      <w:i/>
      <w:sz w:val="21"/>
      <w:szCs w:val="21"/>
    </w:rPr>
  </w:style>
  <w:style w:type="character" w:customStyle="1" w:styleId="p_Maly_textChar">
    <w:name w:val="p_Maly_text Char"/>
    <w:basedOn w:val="Základnítext2Char"/>
    <w:link w:val="p_Maly_text"/>
    <w:rsid w:val="00400050"/>
    <w:rPr>
      <w:rFonts w:ascii="Tahoma" w:eastAsia="Times New Roman" w:hAnsi="Tahoma" w:cs="Arial" w:cstheme="minorHAnsi"/>
      <w:i/>
      <w:iCs/>
      <w:sz w:val="18"/>
      <w:szCs w:val="18"/>
      <w:lang w:eastAsia="cs-CZ"/>
    </w:rPr>
  </w:style>
  <w:style w:type="paragraph" w:customStyle="1" w:styleId="p_Nadpis">
    <w:name w:val="p_Nadpis"/>
    <w:basedOn w:val="Normal"/>
    <w:link w:val="p_NadpisChar"/>
    <w:qFormat/>
    <w:rsid w:val="00400050"/>
    <w:pPr>
      <w:shd w:val="clear" w:color="auto" w:fill="FFFFFF"/>
      <w:jc w:val="center"/>
    </w:pPr>
    <w:rPr>
      <w:rFonts w:ascii="Calibri" w:hAnsi="Calibri" w:asciiTheme="minorHAnsi" w:hAnsiTheme="minorHAnsi" w:cs="Calibri"/>
      <w:b/>
      <w:i/>
      <w:sz w:val="28"/>
      <w:szCs w:val="28"/>
    </w:rPr>
  </w:style>
  <w:style w:type="character" w:customStyle="1" w:styleId="p_TextChar">
    <w:name w:val="p_Text Char"/>
    <w:basedOn w:val="DefaultParagraphFont"/>
    <w:link w:val="p_Text"/>
    <w:rsid w:val="00400050"/>
    <w:rPr>
      <w:rFonts w:eastAsia="Times New Roman" w:cs="Calibri"/>
      <w:i/>
      <w:sz w:val="21"/>
      <w:szCs w:val="21"/>
      <w:shd w:val="clear" w:color="auto" w:fill="FFFFFF"/>
      <w:lang w:eastAsia="de-DE"/>
    </w:rPr>
  </w:style>
  <w:style w:type="paragraph" w:customStyle="1" w:styleId="p_Clanek">
    <w:name w:val="p_Clanek"/>
    <w:basedOn w:val="Quote"/>
    <w:link w:val="p_ClanekChar"/>
    <w:qFormat/>
    <w:rsid w:val="00400050"/>
    <w:pPr>
      <w:ind w:left="0" w:right="0"/>
    </w:pPr>
    <w:rPr>
      <w:rFonts w:ascii="Calibri" w:hAnsi="Calibri" w:asciiTheme="minorHAnsi" w:hAnsiTheme="minorHAnsi" w:cs="Calibri"/>
      <w:b/>
      <w:color w:val="auto"/>
      <w:u w:val="single"/>
    </w:rPr>
  </w:style>
  <w:style w:type="character" w:customStyle="1" w:styleId="p_NadpisChar">
    <w:name w:val="p_Nadpis Char"/>
    <w:basedOn w:val="DefaultParagraphFont"/>
    <w:link w:val="p_Nadpis"/>
    <w:rsid w:val="00400050"/>
    <w:rPr>
      <w:rFonts w:eastAsia="Times New Roman" w:cs="Calibri"/>
      <w:b/>
      <w:i/>
      <w:sz w:val="28"/>
      <w:szCs w:val="28"/>
      <w:shd w:val="clear" w:color="auto" w:fill="FFFFFF"/>
      <w:lang w:eastAsia="de-DE"/>
    </w:rPr>
  </w:style>
  <w:style w:type="paragraph" w:customStyle="1" w:styleId="p_Blok">
    <w:name w:val="p_Blok"/>
    <w:basedOn w:val="BodyTextIndent3"/>
    <w:link w:val="p_BlokChar"/>
    <w:qFormat/>
    <w:rsid w:val="00400050"/>
    <w:pPr>
      <w:numPr>
        <w:numId w:val="6"/>
      </w:numPr>
      <w:tabs>
        <w:tab w:val="clear" w:pos="426"/>
      </w:tabs>
      <w:ind w:left="426"/>
    </w:pPr>
    <w:rPr>
      <w:rFonts w:ascii="Calibri" w:hAnsi="Calibri" w:asciiTheme="minorHAnsi" w:hAnsiTheme="minorHAnsi" w:cs="Arial" w:cstheme="minorHAnsi"/>
      <w:i/>
      <w:color w:val="000000"/>
      <w:spacing w:val="-4"/>
      <w:sz w:val="21"/>
      <w:szCs w:val="21"/>
    </w:rPr>
  </w:style>
  <w:style w:type="character" w:customStyle="1" w:styleId="p_ClanekChar">
    <w:name w:val="p_Clanek Char"/>
    <w:basedOn w:val="CitátChar"/>
    <w:link w:val="p_Clanek"/>
    <w:rsid w:val="00400050"/>
    <w:rPr>
      <w:rFonts w:ascii="Times New Roman" w:eastAsia="Times New Roman" w:hAnsi="Times New Roman" w:cs="Calibri"/>
      <w:b/>
      <w:i/>
      <w:iCs/>
      <w:color w:val="404040" w:themeColor="text1" w:themeTint="BF"/>
      <w:sz w:val="24"/>
      <w:szCs w:val="20"/>
      <w:u w:val="single"/>
      <w:lang w:eastAsia="de-DE"/>
    </w:rPr>
  </w:style>
  <w:style w:type="paragraph" w:customStyle="1" w:styleId="p_Text_tucny">
    <w:name w:val="p_Text_tucny"/>
    <w:basedOn w:val="p_Text"/>
    <w:link w:val="p_Text_tucnyChar"/>
    <w:qFormat/>
    <w:rsid w:val="004D14D2"/>
    <w:rPr>
      <w:b/>
      <w:color w:val="000000" w:themeColor="text1"/>
    </w:rPr>
  </w:style>
  <w:style w:type="character" w:customStyle="1" w:styleId="p_BlokChar">
    <w:name w:val="p_Blok Char"/>
    <w:basedOn w:val="Základnítextodsazený3Char"/>
    <w:link w:val="p_Blok"/>
    <w:rsid w:val="00400050"/>
    <w:rPr>
      <w:rFonts w:ascii="Times New Roman" w:eastAsia="Times New Roman" w:hAnsi="Times New Roman" w:cs="Arial" w:cstheme="minorHAnsi"/>
      <w:i/>
      <w:color w:val="000000"/>
      <w:spacing w:val="-4"/>
      <w:sz w:val="21"/>
      <w:szCs w:val="21"/>
      <w:lang w:eastAsia="cs-CZ"/>
    </w:rPr>
  </w:style>
  <w:style w:type="character" w:customStyle="1" w:styleId="p_Text_tucnyChar">
    <w:name w:val="p_Text_tucny Char"/>
    <w:basedOn w:val="p_TextChar"/>
    <w:link w:val="p_Text_tucny"/>
    <w:rsid w:val="004D14D2"/>
    <w:rPr>
      <w:rFonts w:eastAsia="Times New Roman" w:cs="Calibri"/>
      <w:b/>
      <w:i/>
      <w:color w:val="000000" w:themeColor="text1"/>
      <w:sz w:val="21"/>
      <w:szCs w:val="21"/>
      <w:shd w:val="clear" w:color="auto" w:fill="FFFFFF"/>
      <w:lang w:eastAsia="de-DE"/>
    </w:rPr>
  </w:style>
  <w:style w:type="paragraph" w:customStyle="1" w:styleId="vpCalibri18bi">
    <w:name w:val="vpCalibri18bi"/>
    <w:basedOn w:val="p_Hlavicka"/>
    <w:link w:val="vpCalibri18biChar"/>
    <w:qFormat/>
    <w:rsid w:val="00E95618"/>
    <w:rPr/>
  </w:style>
  <w:style w:type="paragraph" w:customStyle="1" w:styleId="vpCalibri14bi">
    <w:name w:val="vpCalibri14bi"/>
    <w:basedOn w:val="p_PodHlavicka"/>
    <w:link w:val="vpCalibri14biChar"/>
    <w:qFormat/>
    <w:rsid w:val="00E95618"/>
    <w:rPr/>
  </w:style>
  <w:style w:type="character" w:customStyle="1" w:styleId="vpCalibri18biChar">
    <w:name w:val="vpCalibri18bi Char"/>
    <w:basedOn w:val="p_HlavickaChar"/>
    <w:link w:val="vpCalibri18bi"/>
    <w:rsid w:val="00E95618"/>
    <w:rPr>
      <w:rFonts w:ascii="Times New Roman" w:eastAsia="Times New Roman" w:hAnsi="Times New Roman" w:cs="Calibri"/>
      <w:b/>
      <w:i/>
      <w:caps/>
      <w:sz w:val="36"/>
      <w:szCs w:val="36"/>
      <w:lang w:eastAsia="cs-CZ"/>
    </w:rPr>
  </w:style>
  <w:style w:type="paragraph" w:customStyle="1" w:styleId="vpCalibri9i">
    <w:name w:val="vpCalibri9i"/>
    <w:basedOn w:val="p_Maly_text"/>
    <w:link w:val="vpCalibri9iChar"/>
    <w:qFormat/>
    <w:rsid w:val="00E95618"/>
    <w:rPr/>
  </w:style>
  <w:style w:type="character" w:customStyle="1" w:styleId="vpCalibri14biChar">
    <w:name w:val="vpCalibri14bi Char"/>
    <w:basedOn w:val="p_PodHlavickaChar"/>
    <w:link w:val="vpCalibri14bi"/>
    <w:rsid w:val="00E95618"/>
    <w:rPr>
      <w:rFonts w:ascii="Times New Roman" w:eastAsia="Times New Roman" w:hAnsi="Times New Roman" w:cs="Calibri"/>
      <w:b/>
      <w:bCs/>
      <w:i/>
      <w:sz w:val="28"/>
      <w:szCs w:val="28"/>
      <w:lang w:eastAsia="cs-CZ"/>
    </w:rPr>
  </w:style>
  <w:style w:type="paragraph" w:customStyle="1" w:styleId="vpCalibri105i">
    <w:name w:val="vpCalibri105i"/>
    <w:basedOn w:val="p_Text"/>
    <w:link w:val="vpCalibri105iChar"/>
    <w:qFormat/>
    <w:rsid w:val="005F4BCF"/>
    <w:pPr>
      <w:ind w:left="0"/>
    </w:pPr>
    <w:rPr/>
  </w:style>
  <w:style w:type="character" w:customStyle="1" w:styleId="vpCalibri9iChar">
    <w:name w:val="vpCalibri9i Char"/>
    <w:basedOn w:val="p_Maly_textChar"/>
    <w:link w:val="vpCalibri9i"/>
    <w:rsid w:val="00E95618"/>
    <w:rPr>
      <w:rFonts w:ascii="Tahoma" w:eastAsia="Times New Roman" w:hAnsi="Tahoma" w:cs="Arial" w:cstheme="minorHAnsi"/>
      <w:i/>
      <w:iCs/>
      <w:sz w:val="18"/>
      <w:szCs w:val="18"/>
      <w:lang w:eastAsia="cs-CZ"/>
    </w:rPr>
  </w:style>
  <w:style w:type="paragraph" w:customStyle="1" w:styleId="vpCalibri105bi">
    <w:name w:val="vpCalibri105bi"/>
    <w:basedOn w:val="p_Text"/>
    <w:link w:val="vpCalibri105biChar"/>
    <w:qFormat/>
    <w:rsid w:val="005F4BCF"/>
    <w:pPr>
      <w:ind w:left="0"/>
    </w:pPr>
    <w:rPr>
      <w:b/>
    </w:rPr>
  </w:style>
  <w:style w:type="character" w:customStyle="1" w:styleId="vpCalibri105iChar">
    <w:name w:val="vpCalibri105i Char"/>
    <w:basedOn w:val="p_TextChar"/>
    <w:link w:val="vpCalibri105i"/>
    <w:rsid w:val="005F4BCF"/>
    <w:rPr>
      <w:rFonts w:eastAsia="Times New Roman" w:cs="Calibri"/>
      <w:i/>
      <w:sz w:val="21"/>
      <w:szCs w:val="21"/>
      <w:shd w:val="clear" w:color="auto" w:fill="FFFFFF"/>
      <w:lang w:eastAsia="de-DE"/>
    </w:rPr>
  </w:style>
  <w:style w:type="character" w:customStyle="1" w:styleId="vpCalibri105biChar">
    <w:name w:val="vpCalibri105bi Char"/>
    <w:basedOn w:val="p_TextChar"/>
    <w:link w:val="vpCalibri105bi"/>
    <w:rsid w:val="005F4BCF"/>
    <w:rPr>
      <w:rFonts w:eastAsia="Times New Roman" w:cs="Calibri"/>
      <w:b/>
      <w:i/>
      <w:sz w:val="21"/>
      <w:szCs w:val="21"/>
      <w:shd w:val="clear" w:color="auto" w:fill="FFFFFF"/>
      <w:lang w:eastAsia="de-DE"/>
    </w:rPr>
  </w:style>
  <w:style w:type="paragraph" w:customStyle="1" w:styleId="viCalibri105bi">
    <w:name w:val="viCalibri105bi"/>
    <w:basedOn w:val="vpCalibri105i"/>
    <w:link w:val="viCalibri105biChar"/>
    <w:qFormat/>
    <w:rsid w:val="0024388B"/>
    <w:rPr>
      <w:b/>
      <w:i w:val="0"/>
    </w:rPr>
  </w:style>
  <w:style w:type="paragraph" w:customStyle="1" w:styleId="vpCalibri14bicenter">
    <w:name w:val="vpCalibri14bicenter"/>
    <w:basedOn w:val="p_Nadpis"/>
    <w:link w:val="vpCalibri14bicenterChar"/>
    <w:qFormat/>
    <w:rsid w:val="00F06EAB"/>
    <w:rPr/>
  </w:style>
  <w:style w:type="character" w:customStyle="1" w:styleId="viCalibri105biChar">
    <w:name w:val="viCalibri105bi Char"/>
    <w:basedOn w:val="vpCalibri105iChar"/>
    <w:link w:val="viCalibri105bi"/>
    <w:rsid w:val="0024388B"/>
    <w:rPr>
      <w:rFonts w:eastAsia="Times New Roman" w:cs="Calibri"/>
      <w:b/>
      <w:i w:val="0"/>
      <w:sz w:val="21"/>
      <w:szCs w:val="21"/>
      <w:shd w:val="clear" w:color="auto" w:fill="FFFFFF"/>
      <w:lang w:eastAsia="de-DE"/>
    </w:rPr>
  </w:style>
  <w:style w:type="paragraph" w:customStyle="1" w:styleId="vpCalibri12biucenter">
    <w:name w:val="vpCalibri12biucenter"/>
    <w:basedOn w:val="p_Clanek"/>
    <w:link w:val="vpCalibri12biucenterChar"/>
    <w:qFormat/>
    <w:rsid w:val="00F06EAB"/>
    <w:rPr/>
  </w:style>
  <w:style w:type="character" w:customStyle="1" w:styleId="vpCalibri14bicenterChar">
    <w:name w:val="vpCalibri14bicenter Char"/>
    <w:basedOn w:val="p_NadpisChar"/>
    <w:link w:val="vpCalibri14bicenter"/>
    <w:rsid w:val="00F06EAB"/>
    <w:rPr>
      <w:rFonts w:eastAsia="Times New Roman" w:cs="Calibri"/>
      <w:b/>
      <w:i/>
      <w:sz w:val="28"/>
      <w:szCs w:val="28"/>
      <w:shd w:val="clear" w:color="auto" w:fill="FFFFFF"/>
      <w:lang w:eastAsia="de-DE"/>
    </w:rPr>
  </w:style>
  <w:style w:type="paragraph" w:customStyle="1" w:styleId="vpCalibri105inum">
    <w:name w:val="vpCalibri105inum"/>
    <w:basedOn w:val="p_Blok"/>
    <w:link w:val="vpCalibri105inumChar"/>
    <w:qFormat/>
    <w:rsid w:val="00E727D4"/>
    <w:pPr>
      <w:ind w:left="360"/>
    </w:pPr>
    <w:rPr/>
  </w:style>
  <w:style w:type="character" w:customStyle="1" w:styleId="vpCalibri12biucenterChar">
    <w:name w:val="vpCalibri12biucenter Char"/>
    <w:basedOn w:val="p_ClanekChar"/>
    <w:link w:val="vpCalibri12biucenter"/>
    <w:rsid w:val="00F06EAB"/>
    <w:rPr>
      <w:rFonts w:ascii="Times New Roman" w:eastAsia="Times New Roman" w:hAnsi="Times New Roman" w:cs="Calibri"/>
      <w:b/>
      <w:i/>
      <w:iCs/>
      <w:color w:val="404040" w:themeColor="text1" w:themeTint="BF"/>
      <w:sz w:val="24"/>
      <w:szCs w:val="20"/>
      <w:u w:val="single"/>
      <w:lang w:eastAsia="de-DE"/>
    </w:rPr>
  </w:style>
  <w:style w:type="paragraph" w:customStyle="1" w:styleId="vpCalibri105ibullet">
    <w:name w:val="vpCalibri105ibullet"/>
    <w:basedOn w:val="BodyTextIndent3"/>
    <w:link w:val="vpCalibri105ibulletChar"/>
    <w:qFormat/>
    <w:rsid w:val="008A0E22"/>
    <w:pPr>
      <w:numPr>
        <w:numId w:val="7"/>
      </w:numPr>
      <w:tabs>
        <w:tab w:val="clear" w:pos="426"/>
      </w:tabs>
    </w:pPr>
    <w:rPr>
      <w:rFonts w:ascii="Calibri" w:hAnsi="Calibri" w:asciiTheme="minorHAnsi" w:hAnsiTheme="minorHAnsi" w:cs="Calibri"/>
      <w:i/>
      <w:color w:val="000000"/>
      <w:spacing w:val="-4"/>
      <w:sz w:val="21"/>
      <w:szCs w:val="21"/>
    </w:rPr>
  </w:style>
  <w:style w:type="character" w:customStyle="1" w:styleId="vpCalibri105inumChar">
    <w:name w:val="vpCalibri105inum Char"/>
    <w:basedOn w:val="p_BlokChar"/>
    <w:link w:val="vpCalibri105inum"/>
    <w:rsid w:val="00E727D4"/>
    <w:rPr>
      <w:rFonts w:ascii="Times New Roman" w:eastAsia="Times New Roman" w:hAnsi="Times New Roman" w:cs="Arial" w:cstheme="minorHAnsi"/>
      <w:i/>
      <w:color w:val="000000"/>
      <w:spacing w:val="-4"/>
      <w:sz w:val="21"/>
      <w:szCs w:val="21"/>
      <w:lang w:eastAsia="cs-CZ"/>
    </w:rPr>
  </w:style>
  <w:style w:type="character" w:customStyle="1" w:styleId="vpCalibri105ibulletChar">
    <w:name w:val="vpCalibri105ibullet Char"/>
    <w:basedOn w:val="Základnítextodsazený3Char"/>
    <w:link w:val="vpCalibri105ibullet"/>
    <w:rsid w:val="008A0E22"/>
    <w:rPr>
      <w:rFonts w:ascii="Times New Roman" w:eastAsia="Times New Roman" w:hAnsi="Times New Roman" w:cs="Calibri"/>
      <w:i/>
      <w:color w:val="000000"/>
      <w:spacing w:val="-4"/>
      <w:sz w:val="21"/>
      <w:szCs w:val="21"/>
      <w:lang w:eastAsia="cs-CZ"/>
    </w:rPr>
  </w:style>
  <w:style w:type="paragraph" w:customStyle="1" w:styleId="vpCalibri105iindent">
    <w:name w:val="vpCalibri105iindent"/>
    <w:basedOn w:val="Normal"/>
    <w:link w:val="vpCalibri105iindentChar"/>
    <w:qFormat/>
    <w:rsid w:val="00856713"/>
    <w:pPr>
      <w:tabs>
        <w:tab w:val="left" w:pos="2268"/>
      </w:tabs>
      <w:ind w:left="426"/>
    </w:pPr>
    <w:rPr>
      <w:rFonts w:ascii="Calibri" w:hAnsi="Calibri" w:asciiTheme="minorHAnsi" w:hAnsiTheme="minorHAnsi" w:cs="Calibri"/>
      <w:i/>
      <w:sz w:val="21"/>
      <w:szCs w:val="21"/>
    </w:rPr>
  </w:style>
  <w:style w:type="character" w:customStyle="1" w:styleId="vpCalibri105iindentChar">
    <w:name w:val="vpCalibri105iindent Char"/>
    <w:basedOn w:val="DefaultParagraphFont"/>
    <w:link w:val="vpCalibri105iindent"/>
    <w:rsid w:val="00856713"/>
    <w:rPr>
      <w:rFonts w:eastAsia="Times New Roman" w:cs="Calibri"/>
      <w:i/>
      <w:sz w:val="21"/>
      <w:szCs w:val="21"/>
      <w:lang w:eastAsia="de-DE"/>
    </w:rPr>
  </w:style>
  <w:style w:type="paragraph" w:customStyle="1" w:styleId="vpCalibri105biHeadLeft">
    <w:name w:val="vpCalibri105biHeadLeft"/>
    <w:basedOn w:val="BodyText"/>
    <w:link w:val="vpCalibri105biHeadLeftChar"/>
    <w:qFormat/>
    <w:rsid w:val="00FD7044"/>
    <w:pPr>
      <w:tabs>
        <w:tab w:val="left" w:pos="1620"/>
      </w:tabs>
      <w:ind w:left="1620" w:hanging="1620"/>
    </w:pPr>
    <w:rPr>
      <w:rFonts w:ascii="Calibri" w:hAnsi="Calibri" w:asciiTheme="minorHAnsi" w:hAnsiTheme="minorHAnsi" w:cs="Calibri"/>
      <w:b/>
      <w:i/>
      <w:sz w:val="21"/>
      <w:szCs w:val="21"/>
      <w:lang w:eastAsia="en-US"/>
    </w:rPr>
  </w:style>
  <w:style w:type="character" w:customStyle="1" w:styleId="vpCalibri105biHeadLeftChar">
    <w:name w:val="vpCalibri105biHeadLeft Char"/>
    <w:basedOn w:val="ZákladnítextChar"/>
    <w:link w:val="vpCalibri105biHeadLeft"/>
    <w:rsid w:val="00FD7044"/>
    <w:rPr>
      <w:rFonts w:ascii="Times New Roman" w:eastAsia="Times New Roman" w:hAnsi="Times New Roman" w:cs="Calibri"/>
      <w:b/>
      <w:i/>
      <w:sz w:val="21"/>
      <w:szCs w:val="21"/>
      <w:lang w:eastAsia="cs-CZ"/>
    </w:rPr>
  </w:style>
  <w:style w:type="paragraph" w:customStyle="1" w:styleId="vpCalibri11biu">
    <w:name w:val="vpCalibri11biu"/>
    <w:basedOn w:val="BodyText"/>
    <w:qFormat/>
    <w:rsid w:val="000266ED"/>
    <w:pPr>
      <w:spacing w:line="360" w:lineRule="auto"/>
    </w:pPr>
    <w:rPr>
      <w:rFonts w:ascii="Calibri Light" w:hAnsi="Calibri Light" w:asciiTheme="majorHAnsi" w:hAnsiTheme="majorHAnsi" w:cs="Calibri"/>
      <w:b/>
      <w:i/>
      <w:smallCaps/>
      <w:sz w:val="22"/>
      <w:szCs w:val="22"/>
      <w:u w:val="single"/>
      <w:lang w:eastAsia="de-DE"/>
    </w:rPr>
  </w:style>
  <w:style w:type="paragraph" w:customStyle="1" w:styleId="vpCalibri105inumLeft">
    <w:name w:val="vpCalibri105inumLeft"/>
    <w:basedOn w:val="vpCalibri105inum"/>
    <w:link w:val="vpCalibri105inumLeftChar"/>
    <w:qFormat/>
    <w:rsid w:val="001C253D"/>
    <w:pPr>
      <w:jc w:val="left"/>
    </w:pPr>
    <w:rPr/>
  </w:style>
  <w:style w:type="character" w:customStyle="1" w:styleId="vpCalibri105inumLeftChar">
    <w:name w:val="vpCalibri105inumLeft Char"/>
    <w:basedOn w:val="vpCalibri105inumChar"/>
    <w:link w:val="vpCalibri105inumLeft"/>
    <w:rsid w:val="001C253D"/>
    <w:rPr>
      <w:rFonts w:ascii="Times New Roman" w:eastAsia="Times New Roman" w:hAnsi="Times New Roman" w:cs="Arial" w:cstheme="minorHAnsi"/>
      <w:i/>
      <w:color w:val="000000"/>
      <w:spacing w:val="-4"/>
      <w:sz w:val="21"/>
      <w:szCs w:val="21"/>
      <w:lang w:eastAsia="cs-CZ"/>
    </w:rPr>
  </w:style>
  <w:style w:type="paragraph" w:customStyle="1" w:styleId="vpCalibri8i">
    <w:name w:val="vpCalibri8i"/>
    <w:basedOn w:val="Normal"/>
    <w:qFormat/>
    <w:rsid w:val="00745480"/>
    <w:pPr>
      <w:tabs>
        <w:tab w:val="left" w:pos="5529"/>
      </w:tabs>
    </w:pPr>
    <w:rPr>
      <w:rFonts w:ascii="Calibri" w:hAnsi="Calibri" w:cs="Calibri"/>
      <w:i/>
      <w:sz w:val="16"/>
      <w:szCs w:val="16"/>
      <w:lang w:val="sv-SE"/>
    </w:rPr>
  </w:style>
  <w:style w:type="character" w:customStyle="1" w:styleId="viCalibri105biuChar">
    <w:name w:val="viCalibri105biu Char"/>
    <w:basedOn w:val="vpCalibri105iChar"/>
    <w:rsid w:val="005459FF"/>
    <w:rPr>
      <w:rFonts w:ascii="Calibri" w:eastAsia="Times New Roman" w:hAnsi="Calibri" w:cs="Calibri"/>
      <w:b/>
      <w:i w:val="0"/>
      <w:sz w:val="21"/>
      <w:szCs w:val="21"/>
      <w:u w:val="single"/>
      <w:shd w:val="clear" w:color="auto" w:fill="FFFFFF"/>
      <w:lang w:eastAsia="de-DE"/>
    </w:rPr>
  </w:style>
  <w:style w:type="character" w:customStyle="1" w:styleId="vpCalibri105iuChar">
    <w:name w:val="vpCalibri105iu Char"/>
    <w:basedOn w:val="vpCalibri105iChar"/>
    <w:rsid w:val="005459FF"/>
    <w:rPr>
      <w:rFonts w:ascii="Calibri" w:eastAsia="Times New Roman" w:hAnsi="Calibri" w:cs="Calibri"/>
      <w:i w:val="0"/>
      <w:sz w:val="21"/>
      <w:szCs w:val="21"/>
      <w:u w:val="single"/>
      <w:shd w:val="clear" w:color="auto" w:fill="FFFFFF"/>
      <w:lang w:eastAsia="de-DE"/>
    </w:rPr>
  </w:style>
  <w:style w:type="paragraph" w:customStyle="1" w:styleId="vpCalibri105ibulletLeft">
    <w:name w:val="vpCalibri105ibulletLeft"/>
    <w:basedOn w:val="vpCalibri105ibullet"/>
    <w:link w:val="vpCalibri105ibulletLeftChar"/>
    <w:qFormat/>
    <w:rsid w:val="00FC0A17"/>
    <w:pPr>
      <w:ind w:left="360"/>
    </w:pPr>
    <w:rPr/>
  </w:style>
  <w:style w:type="character" w:customStyle="1" w:styleId="vpCalibri105ibulletLeftChar">
    <w:name w:val="vpCalibri105ibulletLeft Char"/>
    <w:basedOn w:val="vpCalibri105ibulletChar"/>
    <w:link w:val="vpCalibri105ibulletLeft"/>
    <w:rsid w:val="00FC0A17"/>
    <w:rPr>
      <w:rFonts w:ascii="Times New Roman" w:eastAsia="Times New Roman" w:hAnsi="Times New Roman" w:cs="Calibri"/>
      <w:i/>
      <w:color w:val="000000"/>
      <w:spacing w:val="-4"/>
      <w:sz w:val="21"/>
      <w:szCs w:val="21"/>
      <w:lang w:eastAsia="cs-CZ"/>
    </w:rPr>
  </w:style>
  <w:style w:type="paragraph" w:styleId="Cal08">
    <w:name w:val="Cal08"/>
    <w:basedOn w:val="Normal"/>
    <w:pPr>
      <w:ind w:left="0"/>
    </w:pPr>
    <w:rPr>
      <w:rFonts w:ascii="Calibri" w:eastAsia="Calibri" w:hAnsi="Calibri" w:cs="Calibri"/>
      <w:b w:val="0"/>
      <w:i w:val="0"/>
      <w:sz w:val="16"/>
    </w:rPr>
  </w:style>
  <w:style w:type="paragraph" w:styleId="Cal08XBo">
    <w:name w:val="Cal08XBo"/>
    <w:basedOn w:val="Normal"/>
    <w:pPr>
      <w:ind w:left="0"/>
    </w:pPr>
    <w:rPr>
      <w:rFonts w:ascii="Calibri" w:eastAsia="Calibri" w:hAnsi="Calibri" w:cs="Calibri"/>
      <w:b/>
      <w:i w:val="0"/>
      <w:sz w:val="16"/>
    </w:rPr>
  </w:style>
  <w:style w:type="paragraph" w:styleId="Cal08XIt">
    <w:name w:val="Cal08XIt"/>
    <w:basedOn w:val="Normal"/>
    <w:pPr>
      <w:ind w:left="0"/>
    </w:pPr>
    <w:rPr>
      <w:rFonts w:ascii="Calibri" w:eastAsia="Calibri" w:hAnsi="Calibri" w:cs="Calibri"/>
      <w:b w:val="0"/>
      <w:i/>
      <w:sz w:val="16"/>
    </w:rPr>
  </w:style>
  <w:style w:type="paragraph" w:styleId="Cal08XItXBo">
    <w:name w:val="Cal08XItXBo"/>
    <w:basedOn w:val="Normal"/>
    <w:pPr>
      <w:ind w:left="0"/>
    </w:pPr>
    <w:rPr>
      <w:rFonts w:ascii="Calibri" w:eastAsia="Calibri" w:hAnsi="Calibri" w:cs="Calibri"/>
      <w:b/>
      <w:i/>
      <w:sz w:val="16"/>
    </w:rPr>
  </w:style>
  <w:style w:type="paragraph" w:styleId="Cal08XIn">
    <w:name w:val="Cal08XIn"/>
    <w:basedOn w:val="Normal"/>
    <w:pPr>
      <w:ind w:left="400"/>
    </w:pPr>
    <w:rPr>
      <w:rFonts w:ascii="Calibri" w:eastAsia="Calibri" w:hAnsi="Calibri" w:cs="Calibri"/>
      <w:b w:val="0"/>
      <w:i w:val="0"/>
      <w:sz w:val="16"/>
    </w:rPr>
  </w:style>
  <w:style w:type="paragraph" w:styleId="Cal08XBoXIn">
    <w:name w:val="Cal08XBoXIn"/>
    <w:basedOn w:val="Normal"/>
    <w:pPr>
      <w:ind w:left="400"/>
    </w:pPr>
    <w:rPr>
      <w:rFonts w:ascii="Calibri" w:eastAsia="Calibri" w:hAnsi="Calibri" w:cs="Calibri"/>
      <w:b/>
      <w:i w:val="0"/>
      <w:sz w:val="16"/>
    </w:rPr>
  </w:style>
  <w:style w:type="paragraph" w:styleId="Cal08XItXIn">
    <w:name w:val="Cal08XItXIn"/>
    <w:basedOn w:val="Normal"/>
    <w:pPr>
      <w:ind w:left="400"/>
    </w:pPr>
    <w:rPr>
      <w:rFonts w:ascii="Calibri" w:eastAsia="Calibri" w:hAnsi="Calibri" w:cs="Calibri"/>
      <w:b w:val="0"/>
      <w:i/>
      <w:sz w:val="16"/>
    </w:rPr>
  </w:style>
  <w:style w:type="paragraph" w:styleId="Cal08XItXBoXIn">
    <w:name w:val="Cal08XItXBoXIn"/>
    <w:basedOn w:val="Normal"/>
    <w:pPr>
      <w:ind w:left="400"/>
    </w:pPr>
    <w:rPr>
      <w:rFonts w:ascii="Calibri" w:eastAsia="Calibri" w:hAnsi="Calibri" w:cs="Calibri"/>
      <w:b/>
      <w:i/>
      <w:sz w:val="16"/>
    </w:rPr>
  </w:style>
  <w:style w:type="paragraph" w:styleId="Cal10">
    <w:name w:val="Cal10"/>
    <w:basedOn w:val="Normal"/>
    <w:pPr>
      <w:ind w:left="0"/>
    </w:pPr>
    <w:rPr>
      <w:rFonts w:ascii="Calibri" w:eastAsia="Calibri" w:hAnsi="Calibri" w:cs="Calibri"/>
      <w:b w:val="0"/>
      <w:i w:val="0"/>
      <w:sz w:val="20"/>
    </w:rPr>
  </w:style>
  <w:style w:type="paragraph" w:styleId="Cal10XBo">
    <w:name w:val="Cal10XBo"/>
    <w:basedOn w:val="Normal"/>
    <w:pPr>
      <w:ind w:left="0"/>
    </w:pPr>
    <w:rPr>
      <w:rFonts w:ascii="Calibri" w:eastAsia="Calibri" w:hAnsi="Calibri" w:cs="Calibri"/>
      <w:b/>
      <w:i w:val="0"/>
      <w:sz w:val="20"/>
    </w:rPr>
  </w:style>
  <w:style w:type="paragraph" w:styleId="Cal10XIt">
    <w:name w:val="Cal10XIt"/>
    <w:basedOn w:val="Normal"/>
    <w:pPr>
      <w:ind w:left="0"/>
    </w:pPr>
    <w:rPr>
      <w:rFonts w:ascii="Calibri" w:eastAsia="Calibri" w:hAnsi="Calibri" w:cs="Calibri"/>
      <w:b w:val="0"/>
      <w:i/>
      <w:sz w:val="20"/>
    </w:rPr>
  </w:style>
  <w:style w:type="paragraph" w:styleId="Cal10XItXBo">
    <w:name w:val="Cal10XItXBo"/>
    <w:basedOn w:val="Normal"/>
    <w:pPr>
      <w:ind w:left="0"/>
    </w:pPr>
    <w:rPr>
      <w:rFonts w:ascii="Calibri" w:eastAsia="Calibri" w:hAnsi="Calibri" w:cs="Calibri"/>
      <w:b/>
      <w:i/>
      <w:sz w:val="20"/>
    </w:rPr>
  </w:style>
  <w:style w:type="paragraph" w:styleId="Cal10XIn">
    <w:name w:val="Cal10XIn"/>
    <w:basedOn w:val="Normal"/>
    <w:pPr>
      <w:ind w:left="400"/>
    </w:pPr>
    <w:rPr>
      <w:rFonts w:ascii="Calibri" w:eastAsia="Calibri" w:hAnsi="Calibri" w:cs="Calibri"/>
      <w:b w:val="0"/>
      <w:i w:val="0"/>
      <w:sz w:val="20"/>
    </w:rPr>
  </w:style>
  <w:style w:type="paragraph" w:styleId="Cal10XBoXIn">
    <w:name w:val="Cal10XBoXIn"/>
    <w:basedOn w:val="Normal"/>
    <w:pPr>
      <w:ind w:left="400"/>
    </w:pPr>
    <w:rPr>
      <w:rFonts w:ascii="Calibri" w:eastAsia="Calibri" w:hAnsi="Calibri" w:cs="Calibri"/>
      <w:b/>
      <w:i w:val="0"/>
      <w:sz w:val="20"/>
    </w:rPr>
  </w:style>
  <w:style w:type="paragraph" w:styleId="Cal10XItXIn">
    <w:name w:val="Cal10XItXIn"/>
    <w:basedOn w:val="Normal"/>
    <w:pPr>
      <w:ind w:left="400"/>
    </w:pPr>
    <w:rPr>
      <w:rFonts w:ascii="Calibri" w:eastAsia="Calibri" w:hAnsi="Calibri" w:cs="Calibri"/>
      <w:b w:val="0"/>
      <w:i/>
      <w:sz w:val="20"/>
    </w:rPr>
  </w:style>
  <w:style w:type="paragraph" w:styleId="Cal10XItXBoXIn">
    <w:name w:val="Cal10XItXBoXIn"/>
    <w:basedOn w:val="Normal"/>
    <w:pPr>
      <w:ind w:left="400"/>
    </w:pPr>
    <w:rPr>
      <w:rFonts w:ascii="Calibri" w:eastAsia="Calibri" w:hAnsi="Calibri" w:cs="Calibri"/>
      <w:b/>
      <w:i/>
      <w:sz w:val="20"/>
    </w:rPr>
  </w:style>
  <w:style w:type="paragraph" w:styleId="Cal11">
    <w:name w:val="Cal11"/>
    <w:basedOn w:val="Normal"/>
    <w:pPr>
      <w:ind w:left="0"/>
    </w:pPr>
    <w:rPr>
      <w:rFonts w:ascii="Calibri" w:eastAsia="Calibri" w:hAnsi="Calibri" w:cs="Calibri"/>
      <w:b w:val="0"/>
      <w:i w:val="0"/>
      <w:sz w:val="22"/>
    </w:rPr>
  </w:style>
  <w:style w:type="paragraph" w:styleId="Cal11XBo">
    <w:name w:val="Cal11XBo"/>
    <w:basedOn w:val="Normal"/>
    <w:pPr>
      <w:ind w:left="0"/>
    </w:pPr>
    <w:rPr>
      <w:rFonts w:ascii="Calibri" w:eastAsia="Calibri" w:hAnsi="Calibri" w:cs="Calibri"/>
      <w:b/>
      <w:i w:val="0"/>
      <w:sz w:val="22"/>
    </w:rPr>
  </w:style>
  <w:style w:type="paragraph" w:styleId="Cal11XIt">
    <w:name w:val="Cal11XIt"/>
    <w:basedOn w:val="Normal"/>
    <w:pPr>
      <w:ind w:left="0"/>
    </w:pPr>
    <w:rPr>
      <w:rFonts w:ascii="Calibri" w:eastAsia="Calibri" w:hAnsi="Calibri" w:cs="Calibri"/>
      <w:b w:val="0"/>
      <w:i/>
      <w:sz w:val="22"/>
    </w:rPr>
  </w:style>
  <w:style w:type="paragraph" w:styleId="Cal11XItXBo">
    <w:name w:val="Cal11XItXBo"/>
    <w:basedOn w:val="Normal"/>
    <w:pPr>
      <w:ind w:left="0"/>
    </w:pPr>
    <w:rPr>
      <w:rFonts w:ascii="Calibri" w:eastAsia="Calibri" w:hAnsi="Calibri" w:cs="Calibri"/>
      <w:b/>
      <w:i/>
      <w:sz w:val="22"/>
    </w:rPr>
  </w:style>
  <w:style w:type="paragraph" w:styleId="Cal11XIn">
    <w:name w:val="Cal11XIn"/>
    <w:basedOn w:val="Normal"/>
    <w:pPr>
      <w:ind w:left="400"/>
    </w:pPr>
    <w:rPr>
      <w:rFonts w:ascii="Calibri" w:eastAsia="Calibri" w:hAnsi="Calibri" w:cs="Calibri"/>
      <w:b w:val="0"/>
      <w:i w:val="0"/>
      <w:sz w:val="22"/>
    </w:rPr>
  </w:style>
  <w:style w:type="paragraph" w:styleId="Cal11XBoXIn">
    <w:name w:val="Cal11XBoXIn"/>
    <w:basedOn w:val="Normal"/>
    <w:pPr>
      <w:ind w:left="400"/>
    </w:pPr>
    <w:rPr>
      <w:rFonts w:ascii="Calibri" w:eastAsia="Calibri" w:hAnsi="Calibri" w:cs="Calibri"/>
      <w:b/>
      <w:i w:val="0"/>
      <w:sz w:val="22"/>
    </w:rPr>
  </w:style>
  <w:style w:type="paragraph" w:styleId="Cal11XItXIn">
    <w:name w:val="Cal11XItXIn"/>
    <w:basedOn w:val="Normal"/>
    <w:pPr>
      <w:ind w:left="400"/>
    </w:pPr>
    <w:rPr>
      <w:rFonts w:ascii="Calibri" w:eastAsia="Calibri" w:hAnsi="Calibri" w:cs="Calibri"/>
      <w:b w:val="0"/>
      <w:i/>
      <w:sz w:val="22"/>
    </w:rPr>
  </w:style>
  <w:style w:type="paragraph" w:styleId="Cal11XItXBoXIn">
    <w:name w:val="Cal11XItXBoXIn"/>
    <w:basedOn w:val="Normal"/>
    <w:pPr>
      <w:ind w:left="400"/>
    </w:pPr>
    <w:rPr>
      <w:rFonts w:ascii="Calibri" w:eastAsia="Calibri" w:hAnsi="Calibri" w:cs="Calibri"/>
      <w:b/>
      <w:i/>
      <w:sz w:val="22"/>
    </w:rPr>
  </w:style>
  <w:style w:type="paragraph" w:styleId="Cam14">
    <w:name w:val="Cam14"/>
    <w:basedOn w:val="Normal"/>
    <w:pPr>
      <w:ind w:left="0"/>
    </w:pPr>
    <w:rPr>
      <w:rFonts w:ascii="Cambria" w:eastAsia="Cambria" w:hAnsi="Cambria" w:cs="Cambria"/>
      <w:b w:val="0"/>
      <w:i w:val="0"/>
      <w:sz w:val="28"/>
    </w:rPr>
  </w:style>
  <w:style w:type="paragraph" w:styleId="Cam14Xbo">
    <w:name w:val="Cam14Xbo"/>
    <w:basedOn w:val="Normal"/>
    <w:pPr>
      <w:ind w:left="0"/>
    </w:pPr>
    <w:rPr>
      <w:rFonts w:ascii="Cambria" w:eastAsia="Cambria" w:hAnsi="Cambria" w:cs="Cambria"/>
      <w:b w:val="0"/>
      <w:i w:val="0"/>
      <w:sz w:val="28"/>
    </w:rPr>
  </w:style>
  <w:style w:type="paragraph" w:styleId="Cam18">
    <w:name w:val="Cam18"/>
    <w:basedOn w:val="Normal"/>
    <w:pPr>
      <w:ind w:left="0"/>
    </w:pPr>
    <w:rPr>
      <w:rFonts w:ascii="Cambria" w:eastAsia="Cambria" w:hAnsi="Cambria" w:cs="Cambria"/>
      <w:b w:val="0"/>
      <w:i w:val="0"/>
      <w:sz w:val="36"/>
    </w:rPr>
  </w:style>
  <w:style w:type="paragraph" w:styleId="Cam18XBo">
    <w:name w:val="Cam18XBo"/>
    <w:basedOn w:val="Normal"/>
    <w:pPr>
      <w:ind w:left="0"/>
    </w:pPr>
    <w:rPr>
      <w:rFonts w:ascii="Cambria" w:eastAsia="Cambria" w:hAnsi="Cambria" w:cs="Cambria"/>
      <w:b/>
      <w:i w:val="0"/>
      <w:sz w:val="36"/>
    </w:rPr>
  </w:style>
  <w:style w:type="paragraph" w:styleId="Cam14XIn">
    <w:name w:val="Cam14XIn"/>
    <w:basedOn w:val="Normal"/>
    <w:pPr>
      <w:ind w:left="400"/>
    </w:pPr>
    <w:rPr>
      <w:rFonts w:ascii="Cambria" w:eastAsia="Cambria" w:hAnsi="Cambria" w:cs="Cambria"/>
      <w:b w:val="0"/>
      <w:i w:val="0"/>
      <w:sz w:val="28"/>
    </w:rPr>
  </w:style>
  <w:style w:type="paragraph" w:styleId="Cam14XboXIn">
    <w:name w:val="Cam14XboXIn"/>
    <w:basedOn w:val="Normal"/>
    <w:pPr>
      <w:ind w:left="400"/>
    </w:pPr>
    <w:rPr>
      <w:rFonts w:ascii="Cambria" w:eastAsia="Cambria" w:hAnsi="Cambria" w:cs="Cambria"/>
      <w:b w:val="0"/>
      <w:i w:val="0"/>
      <w:sz w:val="28"/>
    </w:rPr>
  </w:style>
  <w:style w:type="paragraph" w:styleId="Cam18XIn">
    <w:name w:val="Cam18XIn"/>
    <w:basedOn w:val="Normal"/>
    <w:pPr>
      <w:ind w:left="400"/>
    </w:pPr>
    <w:rPr>
      <w:rFonts w:ascii="Cambria" w:eastAsia="Cambria" w:hAnsi="Cambria" w:cs="Cambria"/>
      <w:b w:val="0"/>
      <w:i w:val="0"/>
      <w:sz w:val="36"/>
    </w:rPr>
  </w:style>
  <w:style w:type="paragraph" w:styleId="Cam18XBoXIn">
    <w:name w:val="Cam18XBoXIn"/>
    <w:basedOn w:val="Normal"/>
    <w:pPr>
      <w:ind w:left="400"/>
    </w:pPr>
    <w:rPr>
      <w:rFonts w:ascii="Cambria" w:eastAsia="Cambria" w:hAnsi="Cambria" w:cs="Cambria"/>
      <w:b/>
      <w:i w:val="0"/>
      <w:sz w:val="36"/>
    </w:rPr>
  </w:style>
  <w:style w:type="paragraph" w:styleId="PrvekFooterStyle">
    <w:name w:val="PrvekFooterStyle"/>
    <w:basedOn w:val="Normal"/>
    <w:qFormat/>
    <w:rPr>
      <w:rFonts w:ascii="Calibri" w:eastAsia="Calibri" w:hAnsi="Calibri" w:cs="Calibri"/>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908627">
      <w:marLeft w:val="0"/>
      <w:marRight w:val="0"/>
      <w:marTop w:val="0"/>
      <w:marBottom w:val="0"/>
      <w:divBdr>
        <w:top w:val="none" w:sz="0" w:space="0" w:color="auto"/>
        <w:left w:val="none" w:sz="0" w:space="0" w:color="auto"/>
        <w:bottom w:val="none" w:sz="0" w:space="0" w:color="auto"/>
        <w:right w:val="none" w:sz="0" w:space="0" w:color="auto"/>
      </w:divBdr>
    </w:div>
    <w:div w:id="1343823799">
      <w:marLeft w:val="0"/>
      <w:marRight w:val="0"/>
      <w:marTop w:val="0"/>
      <w:marBottom w:val="0"/>
      <w:divBdr>
        <w:top w:val="none" w:sz="0" w:space="0" w:color="auto"/>
        <w:left w:val="none" w:sz="0" w:space="0" w:color="auto"/>
        <w:bottom w:val="none" w:sz="0" w:space="0" w:color="auto"/>
        <w:right w:val="none" w:sz="0" w:space="0" w:color="auto"/>
      </w:divBdr>
    </w:div>
    <w:div w:id="1451163833">
      <w:marLeft w:val="0"/>
      <w:marRight w:val="0"/>
      <w:marTop w:val="0"/>
      <w:marBottom w:val="0"/>
      <w:divBdr>
        <w:top w:val="none" w:sz="0" w:space="0" w:color="auto"/>
        <w:left w:val="none" w:sz="0" w:space="0" w:color="auto"/>
        <w:bottom w:val="none" w:sz="0" w:space="0" w:color="auto"/>
        <w:right w:val="none" w:sz="0" w:space="0" w:color="auto"/>
      </w:divBdr>
    </w:div>
    <w:div w:id="17279497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FCAA-DDF4-4E00-B81C-9EBBC5CAC74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2</Pages>
  <Words>127</Words>
  <Characters>751</Characters>
  <Application>Microsoft Office Word</Application>
  <DocSecurity>0</DocSecurity>
  <Lines>6</Lines>
  <Paragraphs>1</Paragraphs>
  <CharactersWithSpaces>877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Boška_x002C_ Rudolf</dc:creator>
  <cp:lastModifiedBy>Petr Malý</cp:lastModifiedBy>
  <cp:revision>14</cp:revision>
  <dcterms:created xsi:type="dcterms:W3CDTF">2019-06-14T12:42:00Z</dcterms:created>
  <dcterms:modified xsi:type="dcterms:W3CDTF">2019-06-15T19:29:00Z</dcterms:modified>
</cp:coreProperties>
</file>