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B508" w14:textId="77777777" w:rsidR="003C06F8" w:rsidRPr="00052540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395F7312" w14:textId="415112A5" w:rsidR="008D2529" w:rsidRDefault="008D2529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5254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Obec Kunčice pod Ondřejníkem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00296856, DIČ CZ</w:t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>00296856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Kunčice pod Ondřejníkem 569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Kunčice pod Ondřejníkem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73913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 xml:space="preserve"> Ing. Jiří </w:t>
      </w:r>
      <w:proofErr w:type="spellStart"/>
      <w:r w:rsidR="00052540">
        <w:rPr>
          <w:rFonts w:ascii="Arial" w:eastAsia="Times New Roman" w:hAnsi="Arial" w:cs="Arial"/>
          <w:sz w:val="22"/>
          <w:szCs w:val="22"/>
          <w:lang w:eastAsia="cs-CZ"/>
        </w:rPr>
        <w:t>Mikala_starosta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>email:</w:t>
      </w:r>
      <w:r w:rsidR="00052540" w:rsidRPr="00052540">
        <w:t xml:space="preserve"> </w:t>
      </w:r>
      <w:hyperlink r:id="rId8" w:history="1">
        <w:r w:rsidR="00052540" w:rsidRPr="00052540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obecni.urad@kuncicepo.cz</w:t>
        </w:r>
      </w:hyperlink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>bankovní spojení:</w:t>
      </w:r>
      <w:r w:rsidR="00052540" w:rsidRPr="00052540">
        <w:rPr>
          <w:rFonts w:ascii="Raleway" w:hAnsi="Raleway"/>
          <w:color w:val="2B2E34"/>
          <w:sz w:val="27"/>
          <w:szCs w:val="27"/>
        </w:rPr>
        <w:t xml:space="preserve"> </w:t>
      </w:r>
      <w:r w:rsidR="00052540" w:rsidRPr="00052540">
        <w:rPr>
          <w:rFonts w:ascii="Arial" w:eastAsia="Times New Roman" w:hAnsi="Arial" w:cs="Arial"/>
          <w:sz w:val="22"/>
          <w:szCs w:val="22"/>
          <w:lang w:eastAsia="cs-CZ"/>
        </w:rPr>
        <w:t>1682010349/0800</w:t>
      </w:r>
    </w:p>
    <w:p w14:paraId="7C8E7D68" w14:textId="77777777" w:rsidR="0021296E" w:rsidRDefault="0021296E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5A7C2B5E" w14:textId="77777777" w:rsidR="00660AC1" w:rsidRPr="00D84CE2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72E7C2" w14:textId="77777777" w:rsidR="00DC789F" w:rsidRPr="00052540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052540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23579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23579">
        <w:rPr>
          <w:rFonts w:ascii="Arial" w:eastAsia="Times New Roman" w:hAnsi="Arial" w:cs="Arial"/>
          <w:sz w:val="22"/>
          <w:szCs w:val="22"/>
          <w:lang w:eastAsia="cs-CZ"/>
        </w:rPr>
        <w:t>. zn. B 2145</w:t>
      </w:r>
    </w:p>
    <w:p w14:paraId="6F50F33C" w14:textId="5E451CA8" w:rsid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na základě plné moci 2023 ev.č.PM-075/2023 ze dne 6.3.2023 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205DE7" w:rsidRPr="0005254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RH elektro s.r.o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br/>
        <w:t>IČO: 27802736     DIČ: CZ27802736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205DE7" w:rsidRPr="0005254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Robert Hrycek, jednatel</w:t>
      </w:r>
      <w:r w:rsidR="00205DE7" w:rsidRPr="00F23579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0A445D79" w14:textId="77777777" w:rsidR="009A2315" w:rsidRPr="00205DE7" w:rsidRDefault="009A2315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422DB10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IV-12-8026311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B2D628C" w14:textId="77777777" w:rsidR="00052540" w:rsidRDefault="00052540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5F507871" w14:textId="77777777" w:rsidR="00052540" w:rsidRDefault="00052540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2B762E76" w14:textId="77777777" w:rsidR="00052540" w:rsidRDefault="00052540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410761A" w14:textId="2D297B91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lastRenderedPageBreak/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01F3D3F2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0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3451/1,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>. Kunčice pod Ondřejníkem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6BD64F70" w14:textId="5D2E782B" w:rsidR="00195B88" w:rsidRPr="00262FF8" w:rsidRDefault="00195B88" w:rsidP="00262F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437AF9E6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abelové vedení </w:t>
      </w:r>
      <w:r w:rsidR="00052540">
        <w:rPr>
          <w:rFonts w:ascii="Arial" w:eastAsia="Times New Roman" w:hAnsi="Arial" w:cs="Arial"/>
          <w:sz w:val="22"/>
          <w:szCs w:val="22"/>
          <w:lang w:eastAsia="cs-CZ"/>
        </w:rPr>
        <w:t>NN</w:t>
      </w:r>
      <w:r w:rsidR="00FF282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5ABBA75F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 w:rsidR="00123D7A" w:rsidRPr="005171AA">
        <w:rPr>
          <w:rFonts w:ascii="Arial" w:hAnsi="Arial" w:cs="Arial"/>
          <w:color w:val="000000"/>
          <w:spacing w:val="-4"/>
          <w:sz w:val="22"/>
          <w:szCs w:val="22"/>
        </w:rPr>
        <w:t>5226-195/2023, potvrzeném Katastrálním úřadem pro Moravskoslezský kraj, katastrálním pracovištěm Frýdek-Místek dne 26.6.2024 pod č. PGP-1520/2024-802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71BA5102" w14:textId="55F490F3" w:rsidR="00A95E2C" w:rsidRPr="00052540" w:rsidRDefault="00A95E2C" w:rsidP="00052540">
      <w:pPr>
        <w:shd w:val="clear" w:color="auto" w:fill="FFFFFF"/>
        <w:spacing w:line="280" w:lineRule="exact"/>
        <w:jc w:val="both"/>
        <w:rPr>
          <w:rFonts w:ascii="Arial" w:hAnsi="Arial" w:cs="Arial"/>
          <w:iCs/>
          <w:color w:val="000000"/>
          <w:spacing w:val="-4"/>
          <w:sz w:val="22"/>
          <w:szCs w:val="22"/>
        </w:rPr>
      </w:pP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4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5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5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2034985E" w:rsidR="00207731" w:rsidRPr="006B6BC9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6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52540" w:rsidRPr="0005254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200</w:t>
      </w:r>
      <w:r w:rsidR="000030C0" w:rsidRPr="0005254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0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F51E0C">
        <w:rPr>
          <w:rFonts w:ascii="Arial" w:hAnsi="Arial" w:cs="Arial"/>
          <w:b/>
          <w:sz w:val="22"/>
          <w:szCs w:val="22"/>
        </w:rPr>
        <w:t xml:space="preserve"> 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6B6BC9" w:rsidRPr="006B6BC9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r w:rsidR="006B6BC9" w:rsidRPr="00052540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Tato částka byla stanovena </w:t>
      </w:r>
      <w:bookmarkEnd w:id="6"/>
      <w:r w:rsidR="006B6BC9" w:rsidRPr="00052540">
        <w:rPr>
          <w:rFonts w:ascii="Arial" w:eastAsia="Times New Roman" w:hAnsi="Arial" w:cs="Arial"/>
          <w:i/>
          <w:sz w:val="22"/>
          <w:szCs w:val="22"/>
          <w:lang w:eastAsia="cs-CZ"/>
        </w:rPr>
        <w:t>dle liniového zákona</w:t>
      </w:r>
      <w:r w:rsidR="006B6BC9" w:rsidRPr="00052540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7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529CC499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</w:t>
      </w:r>
      <w:r w:rsidR="00052540">
        <w:rPr>
          <w:rFonts w:ascii="Arial" w:hAnsi="Arial" w:cs="Arial"/>
          <w:spacing w:val="-3"/>
          <w:sz w:val="22"/>
          <w:szCs w:val="22"/>
        </w:rPr>
        <w:t>8026311/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8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8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9" w:name="_Hlk120870506"/>
      <w:bookmarkStart w:id="10" w:name="_Hlk120870546"/>
      <w:bookmarkStart w:id="11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9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0E9A7D4C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8D6227">
        <w:rPr>
          <w:rFonts w:ascii="Arial" w:eastAsia="Times New Roman" w:hAnsi="Arial" w:cs="Arial"/>
          <w:sz w:val="22"/>
          <w:szCs w:val="22"/>
          <w:lang w:eastAsia="cs-CZ"/>
        </w:rPr>
        <w:t>e dvou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</w:t>
      </w:r>
      <w:r w:rsidR="008D622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nichž</w:t>
      </w:r>
      <w:r w:rsidR="008D6227">
        <w:rPr>
          <w:rFonts w:ascii="Arial" w:eastAsia="Times New Roman" w:hAnsi="Arial" w:cs="Arial"/>
          <w:sz w:val="22"/>
          <w:szCs w:val="22"/>
          <w:lang w:eastAsia="cs-CZ"/>
        </w:rPr>
        <w:t xml:space="preserve"> jeden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483D" w:rsidRPr="008D6227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8D6227">
        <w:rPr>
          <w:rFonts w:ascii="Arial" w:eastAsia="Times New Roman" w:hAnsi="Arial" w:cs="Arial"/>
          <w:sz w:val="22"/>
          <w:szCs w:val="22"/>
          <w:lang w:eastAsia="cs-CZ"/>
        </w:rPr>
        <w:t xml:space="preserve"> 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Povinná a jeden stejnopis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10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683285" w14:textId="6C5EF704" w:rsidR="00437E52" w:rsidRPr="008D6227" w:rsidRDefault="003F1BFE" w:rsidP="008D6227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12" w:name="_Hlk120870416"/>
      <w:bookmarkStart w:id="13" w:name="_Hlk124402005"/>
      <w:r w:rsidRPr="008D6227">
        <w:rPr>
          <w:rFonts w:ascii="Arial" w:hAnsi="Arial" w:cs="Arial"/>
          <w:sz w:val="22"/>
          <w:szCs w:val="22"/>
          <w:lang w:eastAsia="cs-CZ"/>
        </w:rPr>
        <w:t xml:space="preserve">Smluvní strany berou na vědomí, že na tuto smlouvu nedopadá povinnost uveřejnění v registru smluv ve smyslu zákona č. 340/2015 </w:t>
      </w:r>
      <w:r w:rsidRPr="008D6227">
        <w:rPr>
          <w:rFonts w:ascii="Arial" w:hAnsi="Arial" w:cs="Arial"/>
          <w:sz w:val="22"/>
          <w:szCs w:val="22"/>
          <w:lang w:eastAsia="cs-CZ"/>
        </w:rPr>
        <w:lastRenderedPageBreak/>
        <w:t>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3"/>
    </w:p>
    <w:bookmarkEnd w:id="11"/>
    <w:bookmarkEnd w:id="12"/>
    <w:p w14:paraId="2666EE00" w14:textId="77777777" w:rsidR="003A426E" w:rsidRPr="00280021" w:rsidRDefault="003A426E" w:rsidP="00280021">
      <w:pPr>
        <w:rPr>
          <w:rFonts w:ascii="Arial" w:hAnsi="Arial" w:cs="Arial"/>
          <w:sz w:val="22"/>
          <w:szCs w:val="22"/>
        </w:rPr>
      </w:pPr>
    </w:p>
    <w:p w14:paraId="44A8AC92" w14:textId="773FA321" w:rsidR="003540B8" w:rsidRPr="008D6227" w:rsidRDefault="003540B8" w:rsidP="008D6227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4" w:name="_Hlk120870665"/>
      <w:r w:rsidRPr="008D6227">
        <w:rPr>
          <w:rFonts w:ascii="Arial" w:hAnsi="Arial" w:cs="Arial"/>
          <w:sz w:val="22"/>
          <w:szCs w:val="22"/>
        </w:rPr>
        <w:t>D</w:t>
      </w:r>
      <w:r w:rsidR="005A377C" w:rsidRPr="008D6227">
        <w:rPr>
          <w:rFonts w:ascii="Arial" w:hAnsi="Arial" w:cs="Arial"/>
          <w:sz w:val="22"/>
          <w:szCs w:val="22"/>
        </w:rPr>
        <w:t>oložka</w:t>
      </w:r>
      <w:r w:rsidRPr="008D6227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C53158" w14:textId="2AEF0879" w:rsidR="003A426E" w:rsidRPr="00AB7807" w:rsidRDefault="003A426E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8D6227">
        <w:rPr>
          <w:rFonts w:ascii="Arial" w:hAnsi="Arial" w:cs="Arial"/>
          <w:sz w:val="22"/>
          <w:szCs w:val="22"/>
        </w:rPr>
        <w:t>Záměr zřídit věcné břemeno k</w:t>
      </w:r>
      <w:r w:rsidR="00233435" w:rsidRPr="008D6227">
        <w:rPr>
          <w:rFonts w:ascii="Arial" w:hAnsi="Arial" w:cs="Arial"/>
          <w:sz w:val="22"/>
          <w:szCs w:val="22"/>
        </w:rPr>
        <w:t> </w:t>
      </w:r>
      <w:r w:rsidR="00766FC5" w:rsidRPr="008D6227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8D6227">
        <w:rPr>
          <w:rFonts w:ascii="Arial" w:hAnsi="Arial" w:cs="Arial"/>
          <w:sz w:val="22"/>
          <w:szCs w:val="22"/>
        </w:rPr>
        <w:t xml:space="preserve"> byl schválen usnesením</w:t>
      </w:r>
      <w:r w:rsidR="00233435" w:rsidRPr="008D6227">
        <w:rPr>
          <w:rFonts w:ascii="Arial" w:hAnsi="Arial" w:cs="Arial"/>
          <w:sz w:val="22"/>
          <w:szCs w:val="22"/>
        </w:rPr>
        <w:t>, č.j. </w:t>
      </w:r>
      <w:r w:rsidRPr="008D6227">
        <w:rPr>
          <w:rFonts w:ascii="Arial" w:hAnsi="Arial" w:cs="Arial"/>
          <w:sz w:val="22"/>
          <w:szCs w:val="22"/>
        </w:rPr>
        <w:t>…………</w:t>
      </w:r>
      <w:r w:rsidR="00280021" w:rsidRPr="008D6227">
        <w:rPr>
          <w:rFonts w:ascii="Arial" w:hAnsi="Arial" w:cs="Arial"/>
          <w:sz w:val="22"/>
          <w:szCs w:val="22"/>
        </w:rPr>
        <w:t>……</w:t>
      </w:r>
      <w:r w:rsidRPr="008D6227">
        <w:rPr>
          <w:rFonts w:ascii="Arial" w:hAnsi="Arial" w:cs="Arial"/>
          <w:sz w:val="22"/>
          <w:szCs w:val="22"/>
        </w:rPr>
        <w:t>. ze dne …</w:t>
      </w:r>
      <w:r w:rsidR="00280021" w:rsidRPr="008D6227">
        <w:rPr>
          <w:rFonts w:ascii="Arial" w:hAnsi="Arial" w:cs="Arial"/>
          <w:sz w:val="22"/>
          <w:szCs w:val="22"/>
        </w:rPr>
        <w:t>……</w:t>
      </w:r>
      <w:r w:rsidRPr="008D6227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A6606A6" w14:textId="77777777" w:rsidR="008D6227" w:rsidRPr="00280021" w:rsidRDefault="008D6227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4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517D0A5B" w:rsidR="00F00D83" w:rsidRPr="000D1777" w:rsidRDefault="008D6227" w:rsidP="008D622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5" w:name="_Hlk120870697"/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  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5"/>
    <w:p w14:paraId="53CA65AA" w14:textId="4C9B4FA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lastRenderedPageBreak/>
              <w:t>Povinná</w:t>
            </w:r>
          </w:p>
          <w:p w14:paraId="3578300A" w14:textId="1F818FB1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Obec Kunčice pod Ondřejníkem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8D622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</w:t>
            </w:r>
            <w:r w:rsidR="0071119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r w:rsidR="008D622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Jiří </w:t>
            </w:r>
            <w:proofErr w:type="spellStart"/>
            <w:r w:rsidR="008D622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Mikala</w:t>
            </w:r>
            <w:proofErr w:type="spellEnd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8D622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4B64D3DD" w:rsidR="00766FC5" w:rsidRPr="00BA2955" w:rsidRDefault="00214642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3DB68BD" w14:textId="27010F28" w:rsidR="00766FC5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1F49AD6" w14:textId="77777777" w:rsidR="00214642" w:rsidRPr="00345A86" w:rsidRDefault="00214642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DFA91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CE9456" w14:textId="4284C0B6" w:rsidR="00214642" w:rsidRPr="00214642" w:rsidRDefault="00214642" w:rsidP="0021464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21464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7B1DA62B" w14:textId="11CBEF77" w:rsidR="00214642" w:rsidRPr="00345A86" w:rsidRDefault="00214642" w:rsidP="00214642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na základě plné moci 2023 ev.č.PM-075/2023 ze dne 6.3.2023 </w:t>
            </w:r>
          </w:p>
          <w:p w14:paraId="40FA9262" w14:textId="57AE73FB" w:rsidR="00214642" w:rsidRDefault="00214642" w:rsidP="0021464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RH elektro s.r.o </w:t>
            </w:r>
          </w:p>
          <w:p w14:paraId="0E5F4266" w14:textId="450327D0" w:rsidR="00766FC5" w:rsidRPr="00345A86" w:rsidRDefault="00766FC5" w:rsidP="0045754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Robert Hrycek, jednatel</w:t>
            </w:r>
          </w:p>
          <w:p w14:paraId="7782F9F9" w14:textId="0AF412CC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8D6227">
              <w:rPr>
                <w:rFonts w:ascii="Arial" w:eastAsia="Calibri" w:hAnsi="Arial" w:cs="Arial"/>
                <w:sz w:val="22"/>
                <w:szCs w:val="22"/>
                <w:lang w:eastAsia="cs-CZ"/>
              </w:rPr>
              <w:t>4.10.2024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9"/>
      <w:footerReference w:type="default" r:id="rId10"/>
      <w:headerReference w:type="first" r:id="rId11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BF34" w14:textId="77777777" w:rsidR="00966C10" w:rsidRDefault="00966C10">
      <w:r>
        <w:separator/>
      </w:r>
    </w:p>
  </w:endnote>
  <w:endnote w:type="continuationSeparator" w:id="0">
    <w:p w14:paraId="1C0DD7BF" w14:textId="77777777" w:rsidR="00966C10" w:rsidRDefault="0096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62541" w14:textId="77777777" w:rsidR="00966C10" w:rsidRDefault="00966C10">
      <w:r>
        <w:separator/>
      </w:r>
    </w:p>
  </w:footnote>
  <w:footnote w:type="continuationSeparator" w:id="0">
    <w:p w14:paraId="3871BDA0" w14:textId="77777777" w:rsidR="00966C10" w:rsidRDefault="0096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</w:t>
    </w:r>
    <w:proofErr w:type="spellEnd"/>
    <w:r w:rsidR="000030C0">
      <w:rPr>
        <w:rFonts w:ascii="Arial Black" w:hAnsi="Arial Black"/>
        <w:sz w:val="16"/>
      </w:rPr>
      <w:t xml:space="preserve"> 225452/IV-12-8026311/Kunčice pod O., </w:t>
    </w:r>
    <w:proofErr w:type="spellStart"/>
    <w:r w:rsidR="000030C0">
      <w:rPr>
        <w:rFonts w:ascii="Arial Black" w:hAnsi="Arial Black"/>
        <w:sz w:val="16"/>
      </w:rPr>
      <w:t>p.č</w:t>
    </w:r>
    <w:proofErr w:type="spellEnd"/>
    <w:r w:rsidR="000030C0">
      <w:rPr>
        <w:rFonts w:ascii="Arial Black" w:hAnsi="Arial Black"/>
        <w:sz w:val="16"/>
      </w:rPr>
      <w:t xml:space="preserve">. 1867/1, </w:t>
    </w:r>
    <w:proofErr w:type="spellStart"/>
    <w:r w:rsidR="000030C0">
      <w:rPr>
        <w:rFonts w:ascii="Arial Black" w:hAnsi="Arial Black"/>
        <w:sz w:val="16"/>
      </w:rPr>
      <w:t>rNN</w:t>
    </w:r>
    <w:proofErr w:type="spellEnd"/>
    <w:r w:rsidR="000030C0">
      <w:rPr>
        <w:rFonts w:ascii="Arial Black" w:hAnsi="Arial Black"/>
        <w:sz w:val="16"/>
      </w:rPr>
      <w:t>/</w:t>
    </w:r>
    <w:proofErr w:type="spellStart"/>
    <w:r w:rsidR="000030C0">
      <w:rPr>
        <w:rFonts w:ascii="Arial Black" w:hAnsi="Arial Black"/>
        <w:sz w:val="16"/>
      </w:rPr>
      <w:t>kNN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52540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7CDD"/>
    <w:rsid w:val="00276F6F"/>
    <w:rsid w:val="00280021"/>
    <w:rsid w:val="002828D4"/>
    <w:rsid w:val="002842A4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00C54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B2239"/>
    <w:rsid w:val="006B3299"/>
    <w:rsid w:val="006B6A4B"/>
    <w:rsid w:val="006B6BC9"/>
    <w:rsid w:val="006D4FD2"/>
    <w:rsid w:val="006D75E2"/>
    <w:rsid w:val="006E223B"/>
    <w:rsid w:val="006F4589"/>
    <w:rsid w:val="006F5B6B"/>
    <w:rsid w:val="007106A5"/>
    <w:rsid w:val="00711198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5F4F"/>
    <w:rsid w:val="007B686D"/>
    <w:rsid w:val="007B7AAC"/>
    <w:rsid w:val="007C3C93"/>
    <w:rsid w:val="007D2873"/>
    <w:rsid w:val="007D4EF4"/>
    <w:rsid w:val="007D61BE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6227"/>
    <w:rsid w:val="008D7C48"/>
    <w:rsid w:val="008E1281"/>
    <w:rsid w:val="008E1592"/>
    <w:rsid w:val="008E3BA3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C277F"/>
    <w:rsid w:val="009C5539"/>
    <w:rsid w:val="009D339B"/>
    <w:rsid w:val="009D3E7C"/>
    <w:rsid w:val="00A0347E"/>
    <w:rsid w:val="00A246F7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0282F"/>
    <w:rsid w:val="00E126D7"/>
    <w:rsid w:val="00E16A7E"/>
    <w:rsid w:val="00E16CBA"/>
    <w:rsid w:val="00E264A0"/>
    <w:rsid w:val="00E35C19"/>
    <w:rsid w:val="00E37259"/>
    <w:rsid w:val="00E5483D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7FB1"/>
    <w:rsid w:val="00F83EFE"/>
    <w:rsid w:val="00F936D2"/>
    <w:rsid w:val="00FA3F26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52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ni.urad@kuncice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2024-10-04T09:35:00Z</dcterms:created>
  <dcterms:modified xsi:type="dcterms:W3CDTF">2024-10-04T10:02:00Z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