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F9" w:rsidRDefault="00F560F9" w:rsidP="00F560F9">
      <w:pPr>
        <w:pStyle w:val="Nadpis2"/>
      </w:pPr>
      <w:r>
        <w:t>PŘÍLOHA Č. 1 – ROČNÍ PLÁN ZLEPŠOVÁNÍ PRO ROK 2022</w:t>
      </w:r>
    </w:p>
    <w:p w:rsidR="00F560F9" w:rsidRPr="00721774" w:rsidRDefault="00F560F9" w:rsidP="00F560F9">
      <w:pPr>
        <w:pStyle w:val="Bezmezer"/>
      </w:pPr>
      <w:r w:rsidRPr="00721774">
        <w:t xml:space="preserve">Plán zlepšování je nástrojem, který pomáhá přehledně formulovat, jakého zlepšení má být v daném roce v rámci ZM a MA21 dosaženo (v souladu s Kritérii MA21). Součástí plánu jsou nejen </w:t>
      </w:r>
      <w:r w:rsidRPr="00721774">
        <w:rPr>
          <w:bCs/>
        </w:rPr>
        <w:t>cíle</w:t>
      </w:r>
      <w:r w:rsidRPr="00721774">
        <w:rPr>
          <w:b/>
          <w:bCs/>
        </w:rPr>
        <w:t xml:space="preserve"> </w:t>
      </w:r>
      <w:r w:rsidRPr="00721774">
        <w:t xml:space="preserve">zlepšení ZM a MA21 pro daný rok, ale také </w:t>
      </w:r>
      <w:r w:rsidRPr="00721774">
        <w:rPr>
          <w:bCs/>
        </w:rPr>
        <w:t>termíny</w:t>
      </w:r>
      <w:r w:rsidRPr="00721774">
        <w:rPr>
          <w:b/>
          <w:bCs/>
        </w:rPr>
        <w:t xml:space="preserve"> </w:t>
      </w:r>
      <w:r w:rsidRPr="00721774">
        <w:t xml:space="preserve">jejich </w:t>
      </w:r>
      <w:r w:rsidRPr="00721774">
        <w:rPr>
          <w:bCs/>
        </w:rPr>
        <w:t>plnění</w:t>
      </w:r>
      <w:r w:rsidRPr="00721774">
        <w:t xml:space="preserve">, odpovědní </w:t>
      </w:r>
      <w:r w:rsidRPr="00721774">
        <w:rPr>
          <w:bCs/>
        </w:rPr>
        <w:t>řešitelé</w:t>
      </w:r>
      <w:r w:rsidRPr="00721774">
        <w:rPr>
          <w:b/>
          <w:bCs/>
        </w:rPr>
        <w:t xml:space="preserve"> </w:t>
      </w:r>
      <w:r w:rsidRPr="00721774">
        <w:t xml:space="preserve">a </w:t>
      </w:r>
      <w:r w:rsidRPr="00721774">
        <w:rPr>
          <w:bCs/>
        </w:rPr>
        <w:t>ukazatele</w:t>
      </w:r>
      <w:r w:rsidRPr="00721774">
        <w:rPr>
          <w:b/>
          <w:bCs/>
        </w:rPr>
        <w:t xml:space="preserve"> </w:t>
      </w:r>
      <w:r w:rsidRPr="00721774">
        <w:t>úspěšnosti realizace.</w:t>
      </w:r>
    </w:p>
    <w:p w:rsidR="00F560F9" w:rsidRPr="00721774" w:rsidRDefault="00F560F9" w:rsidP="00F560F9">
      <w:pPr>
        <w:pStyle w:val="Bezmezer"/>
        <w:ind w:firstLine="708"/>
      </w:pPr>
      <w:r w:rsidRPr="00721774">
        <w:t xml:space="preserve">Doporučený postup je, aby koordinátor ZM a MA21 připravil návrh plánu zlepšování, následně jej projednal v Komisi ZM a MA21 a poté předložil ke schválení vedení města (radě/zastupitelstvu). </w:t>
      </w:r>
      <w:r w:rsidRPr="00721774">
        <w:rPr>
          <w:b/>
          <w:bCs/>
        </w:rPr>
        <w:t xml:space="preserve">Schválení plánu ve vedení města </w:t>
      </w:r>
      <w:r w:rsidRPr="00721774">
        <w:t>je důležitým krokem, který napomůže informovat vedení o aktivitách v rámci ZM a MA21.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5"/>
        <w:gridCol w:w="12"/>
        <w:gridCol w:w="1653"/>
        <w:gridCol w:w="3359"/>
      </w:tblGrid>
      <w:tr w:rsidR="00F560F9" w:rsidRPr="00674A4A" w:rsidTr="00F560F9">
        <w:tc>
          <w:tcPr>
            <w:tcW w:w="9209" w:type="dxa"/>
            <w:gridSpan w:val="4"/>
            <w:shd w:val="clear" w:color="auto" w:fill="92D050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Název činnosti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 w:val="restart"/>
          </w:tcPr>
          <w:p w:rsidR="00F560F9" w:rsidRPr="002673CB" w:rsidRDefault="00F560F9" w:rsidP="00E97A23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 xml:space="preserve">Obnovení činnosti ZM (pořádání kampaní) jako v době před </w:t>
            </w:r>
            <w:proofErr w:type="spellStart"/>
            <w:r>
              <w:rPr>
                <w:rFonts w:ascii="Calibri" w:hAnsi="Calibri" w:cs="Arial"/>
                <w:i/>
              </w:rPr>
              <w:t>Covidem</w:t>
            </w:r>
            <w:proofErr w:type="spellEnd"/>
            <w:r>
              <w:rPr>
                <w:rFonts w:ascii="Calibri" w:hAnsi="Calibri" w:cs="Arial"/>
                <w:i/>
              </w:rPr>
              <w:t xml:space="preserve"> – 19 (minimálně rok jako v roce 2018)</w:t>
            </w: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31.12.2022</w:t>
            </w:r>
            <w:proofErr w:type="gramEnd"/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 kampaně</w:t>
            </w:r>
          </w:p>
        </w:tc>
      </w:tr>
      <w:tr w:rsidR="00F560F9" w:rsidRPr="00674A4A" w:rsidTr="00F560F9">
        <w:trPr>
          <w:trHeight w:val="240"/>
        </w:trPr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Hlaváč, Eliška Soukupová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Martin Šnorbert, Pavel Erlebach, MAS </w:t>
            </w:r>
            <w:proofErr w:type="spellStart"/>
            <w:r>
              <w:rPr>
                <w:rFonts w:ascii="Calibri" w:hAnsi="Calibri" w:cs="Arial"/>
              </w:rPr>
              <w:t>Přiďte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Pobejt</w:t>
            </w:r>
            <w:proofErr w:type="spellEnd"/>
          </w:p>
        </w:tc>
      </w:tr>
      <w:tr w:rsidR="00F560F9" w:rsidRPr="00674A4A" w:rsidTr="00F560F9">
        <w:tc>
          <w:tcPr>
            <w:tcW w:w="9209" w:type="dxa"/>
            <w:gridSpan w:val="4"/>
            <w:shd w:val="clear" w:color="auto" w:fill="92D050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Název činnosti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 w:val="restart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i/>
              </w:rPr>
              <w:t>Obnovení činnosti dětského parlamentu</w:t>
            </w: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31.12.2022</w:t>
            </w:r>
            <w:proofErr w:type="gramEnd"/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Ustanovení ve školním roce 22-23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 Šnorbert, Pavel Erlebach</w:t>
            </w:r>
          </w:p>
        </w:tc>
      </w:tr>
      <w:tr w:rsidR="00F560F9" w:rsidRPr="00674A4A" w:rsidTr="00F560F9">
        <w:tc>
          <w:tcPr>
            <w:tcW w:w="9209" w:type="dxa"/>
            <w:gridSpan w:val="4"/>
            <w:shd w:val="clear" w:color="auto" w:fill="92D050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Název činnosti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 w:val="restart"/>
          </w:tcPr>
          <w:p w:rsidR="00F560F9" w:rsidRPr="002B5716" w:rsidRDefault="00F560F9" w:rsidP="00E97A23">
            <w:pPr>
              <w:jc w:val="both"/>
              <w:rPr>
                <w:rFonts w:ascii="Calibri" w:hAnsi="Calibri" w:cs="Arial"/>
                <w:i/>
              </w:rPr>
            </w:pPr>
            <w:r w:rsidRPr="002B5716">
              <w:rPr>
                <w:rFonts w:ascii="Calibri" w:hAnsi="Calibri" w:cs="Arial"/>
                <w:i/>
              </w:rPr>
              <w:t>Revize zdravotního plánu</w:t>
            </w: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31. 12. 2022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Default="00F560F9" w:rsidP="00E97A23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Platný zdravotní plán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Default="00F560F9" w:rsidP="00E97A23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Default="00F560F9" w:rsidP="00E97A23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MMN a.s., </w:t>
            </w:r>
            <w:r>
              <w:rPr>
                <w:rFonts w:ascii="Calibri" w:hAnsi="Calibri" w:cs="Arial"/>
              </w:rPr>
              <w:t xml:space="preserve">Alexandra </w:t>
            </w:r>
            <w:r>
              <w:rPr>
                <w:rFonts w:ascii="Calibri" w:hAnsi="Calibri" w:cs="Arial"/>
              </w:rPr>
              <w:t>Opluštilová</w:t>
            </w:r>
          </w:p>
        </w:tc>
      </w:tr>
      <w:tr w:rsidR="00F560F9" w:rsidRPr="00674A4A" w:rsidTr="00F560F9">
        <w:tc>
          <w:tcPr>
            <w:tcW w:w="9209" w:type="dxa"/>
            <w:gridSpan w:val="4"/>
            <w:shd w:val="clear" w:color="auto" w:fill="92D050"/>
          </w:tcPr>
          <w:p w:rsidR="00F560F9" w:rsidRPr="002B5716" w:rsidRDefault="00F560F9" w:rsidP="00E97A23">
            <w:pPr>
              <w:rPr>
                <w:rFonts w:ascii="Calibri" w:hAnsi="Calibri" w:cs="Arial"/>
                <w:b/>
                <w:highlight w:val="green"/>
              </w:rPr>
            </w:pPr>
            <w:r w:rsidRPr="002B5716">
              <w:rPr>
                <w:rFonts w:ascii="Calibri" w:hAnsi="Calibri" w:cs="Arial"/>
                <w:b/>
              </w:rPr>
              <w:t>Název činnosti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 w:val="restart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Uspořádání fóra Zdravého města Jilemnice</w:t>
            </w: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28.04.2022</w:t>
            </w:r>
            <w:proofErr w:type="gramEnd"/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 účastníků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i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ORIM + Pavel Erlebach</w:t>
            </w:r>
          </w:p>
        </w:tc>
      </w:tr>
      <w:tr w:rsidR="00F560F9" w:rsidRPr="00674A4A" w:rsidTr="00F560F9">
        <w:tc>
          <w:tcPr>
            <w:tcW w:w="9209" w:type="dxa"/>
            <w:gridSpan w:val="4"/>
            <w:shd w:val="clear" w:color="auto" w:fill="92D050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b/>
                <w:i/>
              </w:rPr>
            </w:pPr>
            <w:r w:rsidRPr="002673CB">
              <w:rPr>
                <w:rFonts w:ascii="Calibri" w:hAnsi="Calibri" w:cs="Arial"/>
                <w:b/>
                <w:i/>
              </w:rPr>
              <w:t>Název činnosti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 w:val="restart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 xml:space="preserve">Nové webové stránky, </w:t>
            </w:r>
            <w:proofErr w:type="spellStart"/>
            <w:r>
              <w:rPr>
                <w:rFonts w:ascii="Calibri" w:hAnsi="Calibri" w:cs="Arial"/>
                <w:i/>
              </w:rPr>
              <w:t>fcb</w:t>
            </w:r>
            <w:proofErr w:type="spellEnd"/>
            <w:r>
              <w:rPr>
                <w:rFonts w:ascii="Calibri" w:hAnsi="Calibri" w:cs="Arial"/>
                <w:i/>
              </w:rPr>
              <w:t xml:space="preserve"> Zdravého města, jiné kanály informování veřejnosti</w:t>
            </w: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31.12.2022</w:t>
            </w:r>
            <w:proofErr w:type="gramEnd"/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stránky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 Šnorbert</w:t>
            </w:r>
            <w:r>
              <w:rPr>
                <w:rFonts w:ascii="Calibri" w:hAnsi="Calibri" w:cs="Arial"/>
              </w:rPr>
              <w:t>, Pavel Möhwald</w:t>
            </w:r>
            <w:bookmarkStart w:id="0" w:name="_GoBack"/>
            <w:bookmarkEnd w:id="0"/>
          </w:p>
        </w:tc>
      </w:tr>
      <w:tr w:rsidR="00F560F9" w:rsidRPr="00674A4A" w:rsidTr="00F560F9">
        <w:tc>
          <w:tcPr>
            <w:tcW w:w="9209" w:type="dxa"/>
            <w:gridSpan w:val="4"/>
            <w:shd w:val="clear" w:color="auto" w:fill="92D050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b/>
                <w:i/>
              </w:rPr>
            </w:pPr>
            <w:r w:rsidRPr="002673CB">
              <w:rPr>
                <w:rFonts w:ascii="Calibri" w:hAnsi="Calibri" w:cs="Arial"/>
                <w:b/>
                <w:i/>
              </w:rPr>
              <w:t>Název činnosti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 w:val="restart"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Školení koordinátora a jeho pomocníka</w:t>
            </w: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31.12.2022</w:t>
            </w:r>
            <w:proofErr w:type="gramEnd"/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 x Účast na školách NSZM 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</w:t>
            </w:r>
          </w:p>
        </w:tc>
      </w:tr>
      <w:tr w:rsidR="00F560F9" w:rsidRPr="00674A4A" w:rsidTr="00F560F9">
        <w:tc>
          <w:tcPr>
            <w:tcW w:w="4197" w:type="dxa"/>
            <w:gridSpan w:val="2"/>
            <w:vMerge/>
          </w:tcPr>
          <w:p w:rsidR="00F560F9" w:rsidRPr="002673CB" w:rsidRDefault="00F560F9" w:rsidP="00E97A23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53" w:type="dxa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 Šnorbert, Pavel Erlebach</w:t>
            </w:r>
          </w:p>
        </w:tc>
      </w:tr>
      <w:tr w:rsidR="00F560F9" w:rsidTr="00F560F9">
        <w:tc>
          <w:tcPr>
            <w:tcW w:w="9209" w:type="dxa"/>
            <w:gridSpan w:val="4"/>
            <w:shd w:val="clear" w:color="auto" w:fill="92D050"/>
          </w:tcPr>
          <w:p w:rsidR="00F560F9" w:rsidRPr="00B738DC" w:rsidRDefault="00F560F9" w:rsidP="00E97A23">
            <w:pPr>
              <w:jc w:val="both"/>
              <w:rPr>
                <w:b/>
                <w:i/>
              </w:rPr>
            </w:pPr>
            <w:r w:rsidRPr="00B738DC">
              <w:rPr>
                <w:b/>
                <w:i/>
              </w:rPr>
              <w:t>Název činnosti</w:t>
            </w:r>
          </w:p>
        </w:tc>
      </w:tr>
      <w:tr w:rsidR="00F560F9" w:rsidTr="00F560F9">
        <w:trPr>
          <w:trHeight w:val="307"/>
        </w:trPr>
        <w:tc>
          <w:tcPr>
            <w:tcW w:w="4185" w:type="dxa"/>
            <w:vMerge w:val="restart"/>
          </w:tcPr>
          <w:p w:rsidR="00F560F9" w:rsidRPr="00915EC2" w:rsidRDefault="00F560F9" w:rsidP="00E97A23">
            <w:pPr>
              <w:jc w:val="both"/>
              <w:rPr>
                <w:i/>
              </w:rPr>
            </w:pPr>
            <w:r w:rsidRPr="00915EC2">
              <w:rPr>
                <w:i/>
              </w:rPr>
              <w:t>Pěšky do školy, celoroční program</w:t>
            </w:r>
          </w:p>
        </w:tc>
        <w:tc>
          <w:tcPr>
            <w:tcW w:w="1665" w:type="dxa"/>
            <w:gridSpan w:val="2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Termín: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31.12.2022</w:t>
            </w:r>
            <w:proofErr w:type="gramEnd"/>
          </w:p>
        </w:tc>
      </w:tr>
      <w:tr w:rsidR="00F560F9" w:rsidTr="00F560F9">
        <w:trPr>
          <w:trHeight w:val="99"/>
        </w:trPr>
        <w:tc>
          <w:tcPr>
            <w:tcW w:w="4185" w:type="dxa"/>
            <w:vMerge/>
          </w:tcPr>
          <w:p w:rsidR="00F560F9" w:rsidRDefault="00F560F9" w:rsidP="00E97A23">
            <w:pPr>
              <w:jc w:val="both"/>
            </w:pPr>
          </w:p>
        </w:tc>
        <w:tc>
          <w:tcPr>
            <w:tcW w:w="1665" w:type="dxa"/>
            <w:gridSpan w:val="2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Ukazatel: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zapojených žáků </w:t>
            </w:r>
          </w:p>
        </w:tc>
      </w:tr>
      <w:tr w:rsidR="00F560F9" w:rsidTr="00F560F9">
        <w:tc>
          <w:tcPr>
            <w:tcW w:w="4185" w:type="dxa"/>
            <w:vMerge/>
          </w:tcPr>
          <w:p w:rsidR="00F560F9" w:rsidRDefault="00F560F9" w:rsidP="00E97A23">
            <w:pPr>
              <w:jc w:val="both"/>
            </w:pPr>
          </w:p>
        </w:tc>
        <w:tc>
          <w:tcPr>
            <w:tcW w:w="1665" w:type="dxa"/>
            <w:gridSpan w:val="2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Zodpovědnost: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Hlaváč, Eliška Soukupová</w:t>
            </w:r>
          </w:p>
        </w:tc>
      </w:tr>
      <w:tr w:rsidR="00F560F9" w:rsidTr="00F560F9">
        <w:tc>
          <w:tcPr>
            <w:tcW w:w="4185" w:type="dxa"/>
            <w:vMerge/>
            <w:tcBorders>
              <w:bottom w:val="single" w:sz="4" w:space="0" w:color="auto"/>
            </w:tcBorders>
          </w:tcPr>
          <w:p w:rsidR="00F560F9" w:rsidRDefault="00F560F9" w:rsidP="00E97A23">
            <w:pPr>
              <w:jc w:val="both"/>
            </w:pPr>
          </w:p>
        </w:tc>
        <w:tc>
          <w:tcPr>
            <w:tcW w:w="1665" w:type="dxa"/>
            <w:gridSpan w:val="2"/>
          </w:tcPr>
          <w:p w:rsidR="00F560F9" w:rsidRPr="002673CB" w:rsidRDefault="00F560F9" w:rsidP="00E97A23">
            <w:pPr>
              <w:rPr>
                <w:rFonts w:ascii="Calibri" w:hAnsi="Calibri" w:cs="Arial"/>
                <w:b/>
              </w:rPr>
            </w:pPr>
            <w:r w:rsidRPr="002673CB">
              <w:rPr>
                <w:rFonts w:ascii="Calibri" w:hAnsi="Calibri" w:cs="Arial"/>
                <w:b/>
              </w:rPr>
              <w:t>Spolupráce:</w:t>
            </w:r>
          </w:p>
        </w:tc>
        <w:tc>
          <w:tcPr>
            <w:tcW w:w="3359" w:type="dxa"/>
          </w:tcPr>
          <w:p w:rsidR="00F560F9" w:rsidRPr="002673CB" w:rsidRDefault="00F560F9" w:rsidP="00E97A2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Martin Šnorbert, Pavel Erlebach</w:t>
            </w:r>
          </w:p>
        </w:tc>
      </w:tr>
    </w:tbl>
    <w:p w:rsidR="00CF30F2" w:rsidRDefault="00CF30F2"/>
    <w:sectPr w:rsidR="00CF30F2" w:rsidSect="00F560F9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F9"/>
    <w:rsid w:val="00CF30F2"/>
    <w:rsid w:val="00F5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93B"/>
  <w15:chartTrackingRefBased/>
  <w15:docId w15:val="{D0028088-E78D-4688-B6BB-A3A5E5A4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0F9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560F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60F9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  <w:lang w:eastAsia="cs-CZ"/>
    </w:rPr>
  </w:style>
  <w:style w:type="paragraph" w:styleId="Bezmezer">
    <w:name w:val="No Spacing"/>
    <w:uiPriority w:val="1"/>
    <w:qFormat/>
    <w:rsid w:val="00F560F9"/>
    <w:pPr>
      <w:spacing w:after="0" w:line="240" w:lineRule="auto"/>
    </w:pPr>
    <w:rPr>
      <w:color w:val="595959" w:themeColor="text1" w:themeTint="A6"/>
      <w:kern w:val="2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5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Šnorbert Martin, Ing.</dc:creator>
  <cp:keywords/>
  <dc:description/>
  <cp:lastModifiedBy>Šnorbert Martin, Ing.</cp:lastModifiedBy>
  <cp:revision>1</cp:revision>
  <dcterms:created xsi:type="dcterms:W3CDTF">2022-01-05T07:34:00Z</dcterms:created>
  <dcterms:modified xsi:type="dcterms:W3CDTF">2022-01-05T07:37:00Z</dcterms:modified>
</cp:coreProperties>
</file>